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C6" w:rsidRDefault="00C60A96">
      <w:pPr>
        <w:spacing w:after="0" w:line="576" w:lineRule="exact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附件2：</w:t>
      </w:r>
    </w:p>
    <w:p w:rsidR="007D47C6" w:rsidRDefault="00C60A96">
      <w:pPr>
        <w:spacing w:after="0" w:line="576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ascii="方正小标宋简体" w:eastAsia="方正小标宋简体" w:hAnsi="小标宋" w:hint="eastAsia"/>
          <w:color w:val="000000"/>
          <w:sz w:val="44"/>
          <w:lang w:eastAsia="zh-CN"/>
        </w:rPr>
        <w:t>养老服务设施建设基本要求</w:t>
      </w:r>
    </w:p>
    <w:p w:rsidR="007D47C6" w:rsidRDefault="007D47C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为保障存量资源改建养老服务设施的质量和安全，根据《老年人照料设施建筑设计标准》（JGJ 450）、《建筑设计防火规范》（GB 50016）、《无障碍设计规范》（GB 50763）、</w:t>
      </w:r>
      <w:r w:rsidR="003D1AD4" w:rsidRPr="003D1AD4">
        <w:rPr>
          <w:rFonts w:ascii="仿宋_GB2312" w:eastAsia="仿宋_GB2312" w:hAnsi="仿宋_GB2312" w:hint="eastAsia"/>
          <w:color w:val="000000"/>
          <w:sz w:val="32"/>
          <w:lang w:eastAsia="zh-CN"/>
        </w:rPr>
        <w:t>《建筑防火通用规范》（</w:t>
      </w:r>
      <w:r w:rsidR="003D1AD4" w:rsidRPr="003D1AD4">
        <w:rPr>
          <w:rFonts w:ascii="仿宋_GB2312" w:eastAsia="仿宋_GB2312" w:hAnsi="仿宋_GB2312"/>
          <w:color w:val="000000"/>
          <w:sz w:val="32"/>
          <w:lang w:eastAsia="zh-CN"/>
        </w:rPr>
        <w:t>GB55037</w:t>
      </w:r>
      <w:r w:rsidR="003D1AD4" w:rsidRPr="003D1AD4">
        <w:rPr>
          <w:rFonts w:ascii="仿宋_GB2312" w:eastAsia="仿宋_GB2312" w:hAnsi="仿宋_GB2312" w:hint="eastAsia"/>
          <w:color w:val="000000"/>
          <w:sz w:val="32"/>
          <w:lang w:eastAsia="zh-CN"/>
        </w:rPr>
        <w:t>）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、《社区老年人日间照料中心建设标准》（建标143）等国家及地方标准，制定本建设基本要求。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一、建筑与安全通用条件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（一）建筑选址与楼层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应选择地质条件稳定、交通便利、市政配套完善的地段，远离噪声源、污染源及危险品生产储运场所。老年人居室及主要功能空间不应设置在地下室、半地下室；宜设置在建筑首层，位于其他楼层时应配备电梯或无障碍坡道。（依据JGJ 450、GB 50016）</w:t>
      </w:r>
    </w:p>
    <w:p w:rsidR="00E5421D" w:rsidRPr="00490F7C" w:rsidRDefault="00C60A96" w:rsidP="0091050A">
      <w:pPr>
        <w:spacing w:after="0" w:line="576" w:lineRule="exact"/>
        <w:ind w:firstLineChars="200" w:firstLine="640"/>
        <w:jc w:val="both"/>
        <w:rPr>
          <w:lang w:eastAsia="zh-CN"/>
        </w:rPr>
      </w:pPr>
      <w:r w:rsidRPr="00490F7C">
        <w:rPr>
          <w:rFonts w:ascii="楷体_GB2312" w:eastAsia="楷体_GB2312" w:hAnsi="楷体_GB2312"/>
          <w:sz w:val="32"/>
          <w:lang w:eastAsia="zh-CN"/>
        </w:rPr>
        <w:t>（二）疏散与消防。</w:t>
      </w:r>
      <w:r w:rsidR="00E5421D" w:rsidRPr="00490F7C">
        <w:rPr>
          <w:rFonts w:ascii="仿宋_GB2312" w:eastAsia="仿宋_GB2312" w:hAnsi="仿宋_GB2312" w:hint="eastAsia"/>
          <w:sz w:val="32"/>
          <w:lang w:eastAsia="zh-CN"/>
        </w:rPr>
        <w:t>应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设置</w:t>
      </w:r>
      <w:r w:rsidR="00E5421D" w:rsidRPr="00490F7C">
        <w:rPr>
          <w:rFonts w:ascii="仿宋_GB2312" w:eastAsia="仿宋_GB2312" w:hAnsi="仿宋_GB2312" w:hint="eastAsia"/>
          <w:sz w:val="32"/>
          <w:lang w:eastAsia="zh-CN"/>
        </w:rPr>
        <w:t>安全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出口</w:t>
      </w:r>
      <w:r w:rsidR="00E5421D" w:rsidRPr="00490F7C">
        <w:rPr>
          <w:rFonts w:ascii="仿宋_GB2312" w:eastAsia="仿宋_GB2312" w:hAnsi="仿宋_GB2312" w:hint="eastAsia"/>
          <w:sz w:val="32"/>
          <w:lang w:eastAsia="zh-CN"/>
        </w:rPr>
        <w:t>、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疏散通道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及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疏散指示标志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、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应急照明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，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装修不得使用易燃材料，地面应防滑，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应按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相关规范</w:t>
      </w:r>
      <w:r w:rsidR="00E5421D" w:rsidRPr="00490F7C">
        <w:rPr>
          <w:rFonts w:ascii="仿宋_GB2312" w:eastAsia="仿宋_GB2312" w:hAnsi="仿宋_GB2312"/>
          <w:sz w:val="32"/>
          <w:lang w:eastAsia="zh-CN"/>
        </w:rPr>
        <w:t>安装火灾自动报警系统、自动喷水灭火系统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以及</w:t>
      </w:r>
      <w:r w:rsidR="00F32DA5" w:rsidRPr="00490F7C">
        <w:rPr>
          <w:rFonts w:ascii="仿宋_GB2312" w:eastAsia="仿宋_GB2312" w:hAnsi="仿宋_GB2312"/>
          <w:sz w:val="32"/>
          <w:lang w:eastAsia="zh-CN"/>
        </w:rPr>
        <w:t>设置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微型</w:t>
      </w:r>
      <w:r w:rsidR="00F32DA5" w:rsidRPr="00490F7C">
        <w:rPr>
          <w:rFonts w:ascii="仿宋_GB2312" w:eastAsia="仿宋_GB2312" w:hAnsi="仿宋_GB2312"/>
          <w:sz w:val="32"/>
          <w:lang w:eastAsia="zh-CN"/>
        </w:rPr>
        <w:t>消防站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、</w:t>
      </w:r>
      <w:r w:rsidR="00F32DA5" w:rsidRPr="00490F7C">
        <w:rPr>
          <w:rFonts w:ascii="仿宋_GB2312" w:eastAsia="仿宋_GB2312" w:hAnsi="仿宋_GB2312"/>
          <w:sz w:val="32"/>
          <w:lang w:eastAsia="zh-CN"/>
        </w:rPr>
        <w:t>轻便消防水龙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、消防</w:t>
      </w:r>
      <w:r w:rsidR="00F32DA5" w:rsidRPr="00490F7C">
        <w:rPr>
          <w:rFonts w:ascii="仿宋_GB2312" w:eastAsia="仿宋_GB2312" w:hAnsi="仿宋_GB2312"/>
          <w:sz w:val="32"/>
          <w:lang w:eastAsia="zh-CN"/>
        </w:rPr>
        <w:t>软管卷盘等，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视频监控保存时间不少于</w:t>
      </w:r>
      <w:r w:rsidR="0091050A" w:rsidRPr="00490F7C">
        <w:rPr>
          <w:rFonts w:ascii="仿宋_GB2312" w:eastAsia="仿宋_GB2312" w:hAnsi="仿宋_GB2312"/>
          <w:sz w:val="32"/>
          <w:lang w:eastAsia="zh-CN"/>
        </w:rPr>
        <w:t>30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天，</w:t>
      </w:r>
      <w:r w:rsidR="00F32DA5" w:rsidRPr="00490F7C">
        <w:rPr>
          <w:rFonts w:ascii="仿宋_GB2312" w:eastAsia="仿宋_GB2312" w:hAnsi="仿宋_GB2312" w:hint="eastAsia"/>
          <w:sz w:val="32"/>
          <w:lang w:eastAsia="zh-CN"/>
        </w:rPr>
        <w:t>具体应当</w:t>
      </w:r>
      <w:r w:rsidR="00F32DA5" w:rsidRPr="00490F7C">
        <w:rPr>
          <w:rFonts w:ascii="仿宋_GB2312" w:eastAsia="仿宋_GB2312" w:hAnsi="仿宋_GB2312"/>
          <w:sz w:val="32"/>
          <w:lang w:eastAsia="zh-CN"/>
        </w:rPr>
        <w:t>符合国家防火标准有关要求。</w:t>
      </w:r>
      <w:r w:rsidR="0091050A" w:rsidRPr="00490F7C">
        <w:rPr>
          <w:rFonts w:ascii="仿宋_GB2312" w:eastAsia="仿宋_GB2312" w:hAnsi="仿宋_GB2312"/>
          <w:sz w:val="32"/>
          <w:lang w:eastAsia="zh-CN"/>
        </w:rPr>
        <w:t>（依据GB 50016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、</w:t>
      </w:r>
      <w:r w:rsidR="0091050A" w:rsidRPr="00490F7C">
        <w:rPr>
          <w:rFonts w:ascii="仿宋_GB2312" w:eastAsia="仿宋_GB2312" w:hAnsi="仿宋_GB2312"/>
          <w:sz w:val="32"/>
          <w:lang w:eastAsia="zh-CN"/>
        </w:rPr>
        <w:t>JGJ450</w:t>
      </w:r>
      <w:r w:rsidR="0091050A" w:rsidRPr="00490F7C">
        <w:rPr>
          <w:rFonts w:ascii="仿宋_GB2312" w:eastAsia="仿宋_GB2312" w:hAnsi="仿宋_GB2312" w:hint="eastAsia"/>
          <w:sz w:val="32"/>
          <w:lang w:eastAsia="zh-CN"/>
        </w:rPr>
        <w:t>等</w:t>
      </w:r>
      <w:r w:rsidR="0091050A" w:rsidRPr="00490F7C">
        <w:rPr>
          <w:rFonts w:ascii="仿宋_GB2312" w:eastAsia="仿宋_GB2312" w:hAnsi="仿宋_GB2312"/>
          <w:sz w:val="32"/>
          <w:lang w:eastAsia="zh-CN"/>
        </w:rPr>
        <w:t>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lastRenderedPageBreak/>
        <w:t>（三）无障碍设施。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主要出入口门净宽不应小于0.80m（护理型居室门不应小于1.10m），主要走廊净宽不宜小于1.80m；楼梯两侧应设连续扶手，踏步防滑并设警示条；应设置无障碍电梯或坡道、无障碍卫生间及紧急呼叫装置；</w:t>
      </w:r>
      <w:r w:rsidR="00E30F32">
        <w:rPr>
          <w:rFonts w:ascii="仿宋_GB2312" w:eastAsia="仿宋_GB2312" w:hAnsi="仿宋_GB2312"/>
          <w:color w:val="000000"/>
          <w:sz w:val="32"/>
          <w:lang w:eastAsia="zh-CN"/>
        </w:rPr>
        <w:t>主要出入口前应留有不小于1.50m的轮椅回转空间；宜设置室外活动场地，通行满足轮椅要求</w:t>
      </w:r>
      <w:r w:rsidR="00E30F32">
        <w:rPr>
          <w:rFonts w:ascii="仿宋_GB2312" w:eastAsia="仿宋_GB2312" w:hAnsi="仿宋_GB2312" w:hint="eastAsia"/>
          <w:color w:val="000000"/>
          <w:sz w:val="32"/>
          <w:lang w:eastAsia="zh-CN"/>
        </w:rPr>
        <w:t>；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标志标识应符合MZ/T 131要求。（依据GB 50763、JGJ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（四）日照与环境。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老年人居室冬至日满窗日照不宜少于2h；冬季室温不宜低于20℃，夏季不宜高于28℃</w:t>
      </w:r>
      <w:r w:rsidR="00E30F32">
        <w:rPr>
          <w:rFonts w:ascii="仿宋_GB2312" w:eastAsia="仿宋_GB2312" w:hAnsi="仿宋_GB2312" w:hint="eastAsia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（依据JGJ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二、功能空间通用条件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</w:t>
      </w:r>
      <w:r w:rsidR="00A076FD">
        <w:rPr>
          <w:rFonts w:ascii="楷体_GB2312" w:eastAsia="楷体_GB2312" w:hAnsi="楷体_GB2312" w:hint="eastAsia"/>
          <w:color w:val="000000"/>
          <w:sz w:val="32"/>
          <w:lang w:eastAsia="zh-CN"/>
        </w:rPr>
        <w:t>老年人</w:t>
      </w:r>
      <w:r>
        <w:rPr>
          <w:rFonts w:ascii="楷体_GB2312" w:eastAsia="楷体_GB2312" w:hAnsi="楷体_GB2312"/>
          <w:color w:val="000000"/>
          <w:sz w:val="32"/>
          <w:lang w:eastAsia="zh-CN"/>
        </w:rPr>
        <w:t>居室与照料单元。</w:t>
      </w:r>
      <w:r w:rsidR="00E30F32" w:rsidRPr="00E30F32">
        <w:rPr>
          <w:rFonts w:ascii="仿宋_GB2312" w:eastAsia="仿宋_GB2312" w:hAnsi="仿宋_GB2312" w:hint="eastAsia"/>
          <w:color w:val="000000"/>
          <w:sz w:val="32"/>
          <w:lang w:eastAsia="zh-CN"/>
        </w:rPr>
        <w:t>老年人居室每间床位数不宜超过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4</w:t>
      </w:r>
      <w:r w:rsidR="00E30F32" w:rsidRPr="00E30F32">
        <w:rPr>
          <w:rFonts w:ascii="仿宋_GB2312" w:eastAsia="仿宋_GB2312" w:hAnsi="仿宋_GB2312" w:hint="eastAsia"/>
          <w:color w:val="000000"/>
          <w:sz w:val="32"/>
          <w:lang w:eastAsia="zh-CN"/>
        </w:rPr>
        <w:t>张。单人间使用面积不应小于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10</w:t>
      </w:r>
      <w:r w:rsidR="00E30F32" w:rsidRPr="00E30F32">
        <w:rPr>
          <w:rFonts w:ascii="Batang" w:eastAsia="Batang" w:hAnsi="Batang" w:cs="Batang" w:hint="eastAsia"/>
          <w:color w:val="000000"/>
          <w:sz w:val="32"/>
          <w:lang w:eastAsia="zh-CN"/>
        </w:rPr>
        <w:t>㎡</w:t>
      </w:r>
      <w:r w:rsidR="00E30F32" w:rsidRPr="00E30F32">
        <w:rPr>
          <w:rFonts w:ascii="仿宋_GB2312" w:eastAsia="仿宋_GB2312" w:hAnsi="仿宋_GB2312" w:cs="仿宋_GB2312" w:hint="eastAsia"/>
          <w:color w:val="000000"/>
          <w:sz w:val="32"/>
          <w:lang w:eastAsia="zh-CN"/>
        </w:rPr>
        <w:t>，双人间不应小于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16</w:t>
      </w:r>
      <w:r w:rsidR="00E30F32" w:rsidRPr="00E30F32">
        <w:rPr>
          <w:rFonts w:ascii="Batang" w:eastAsia="Batang" w:hAnsi="Batang" w:cs="Batang" w:hint="eastAsia"/>
          <w:color w:val="000000"/>
          <w:sz w:val="32"/>
          <w:lang w:eastAsia="zh-CN"/>
        </w:rPr>
        <w:t>㎡</w:t>
      </w:r>
      <w:r w:rsidR="00E30F32" w:rsidRPr="00E30F32">
        <w:rPr>
          <w:rFonts w:ascii="仿宋_GB2312" w:eastAsia="仿宋_GB2312" w:hAnsi="仿宋_GB2312" w:cs="仿宋_GB2312" w:hint="eastAsia"/>
          <w:color w:val="000000"/>
          <w:sz w:val="32"/>
          <w:lang w:eastAsia="zh-CN"/>
        </w:rPr>
        <w:t>，多人间每床使用面积不应小于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6</w:t>
      </w:r>
      <w:r w:rsidR="00E30F32" w:rsidRPr="00E30F32">
        <w:rPr>
          <w:rFonts w:ascii="Batang" w:eastAsia="Batang" w:hAnsi="Batang" w:cs="Batang" w:hint="eastAsia"/>
          <w:color w:val="000000"/>
          <w:sz w:val="32"/>
          <w:lang w:eastAsia="zh-CN"/>
        </w:rPr>
        <w:t>㎡</w:t>
      </w:r>
      <w:r w:rsidR="00E30F32" w:rsidRPr="00E30F32">
        <w:rPr>
          <w:rFonts w:ascii="仿宋_GB2312" w:eastAsia="仿宋_GB2312" w:hAnsi="仿宋_GB2312" w:cs="仿宋_GB2312" w:hint="eastAsia"/>
          <w:color w:val="000000"/>
          <w:sz w:val="32"/>
          <w:lang w:eastAsia="zh-CN"/>
        </w:rPr>
        <w:t>。护理型床位的居室应相对独立设置，每个照料单元不宜大于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60</w:t>
      </w:r>
      <w:r w:rsidR="00E30F32" w:rsidRPr="00E30F32">
        <w:rPr>
          <w:rFonts w:ascii="仿宋_GB2312" w:eastAsia="仿宋_GB2312" w:hAnsi="仿宋_GB2312" w:hint="eastAsia"/>
          <w:color w:val="000000"/>
          <w:sz w:val="32"/>
          <w:lang w:eastAsia="zh-CN"/>
        </w:rPr>
        <w:t>床，失智老年人照料单元不宜大于</w:t>
      </w:r>
      <w:r w:rsidR="00E30F32" w:rsidRPr="00E30F32">
        <w:rPr>
          <w:rFonts w:ascii="仿宋_GB2312" w:eastAsia="仿宋_GB2312" w:hAnsi="仿宋_GB2312"/>
          <w:color w:val="000000"/>
          <w:sz w:val="32"/>
          <w:lang w:eastAsia="zh-CN"/>
        </w:rPr>
        <w:t>20</w:t>
      </w:r>
      <w:r w:rsidR="00E30F32" w:rsidRPr="00E30F32">
        <w:rPr>
          <w:rFonts w:ascii="仿宋_GB2312" w:eastAsia="仿宋_GB2312" w:hAnsi="仿宋_GB2312" w:hint="eastAsia"/>
          <w:color w:val="000000"/>
          <w:sz w:val="32"/>
          <w:lang w:eastAsia="zh-CN"/>
        </w:rPr>
        <w:t>床。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（依据JGJ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二</w:t>
      </w:r>
      <w:r>
        <w:rPr>
          <w:rFonts w:ascii="楷体_GB2312" w:eastAsia="楷体_GB2312" w:hAnsi="楷体_GB2312"/>
          <w:color w:val="000000"/>
          <w:sz w:val="32"/>
          <w:lang w:eastAsia="zh-CN"/>
        </w:rPr>
        <w:t>）公共活动空间。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阅览室、多功能活动室等公共活动空间应满足无障碍通行要求，使用面积不宜小于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1.5</w:t>
      </w:r>
      <w:r w:rsidR="00A076FD" w:rsidRPr="00A076FD">
        <w:rPr>
          <w:rFonts w:ascii="Batang" w:eastAsia="仿宋_GB2312" w:hAnsi="Batang" w:cs="Batang"/>
          <w:color w:val="000000"/>
          <w:sz w:val="32"/>
          <w:lang w:eastAsia="zh-CN"/>
        </w:rPr>
        <w:t>㎡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/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床。应配备适合老年人使用的桌椅，家具应圆角处理并稳固防滑；应设置符合要求的标识系统。</w:t>
      </w:r>
      <w:r w:rsidR="00A90765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（依据</w:t>
      </w:r>
      <w:r w:rsidR="00A90765" w:rsidRPr="00A076FD">
        <w:rPr>
          <w:rFonts w:ascii="仿宋_GB2312" w:eastAsia="仿宋_GB2312" w:hAnsi="仿宋_GB2312"/>
          <w:color w:val="000000"/>
          <w:sz w:val="32"/>
          <w:lang w:eastAsia="zh-CN"/>
        </w:rPr>
        <w:t>JGJ 450</w:t>
      </w:r>
      <w:r w:rsidR="00A90765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、</w:t>
      </w:r>
      <w:r w:rsidR="00A90765" w:rsidRPr="00A076FD">
        <w:rPr>
          <w:rFonts w:ascii="仿宋_GB2312" w:eastAsia="仿宋_GB2312" w:hAnsi="仿宋_GB2312"/>
          <w:color w:val="000000"/>
          <w:sz w:val="32"/>
          <w:lang w:eastAsia="zh-CN"/>
        </w:rPr>
        <w:t>GB 50867</w:t>
      </w:r>
      <w:r w:rsidR="00A90765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）</w:t>
      </w:r>
      <w:bookmarkStart w:id="0" w:name="_GoBack"/>
      <w:bookmarkEnd w:id="0"/>
    </w:p>
    <w:p w:rsidR="003A5CB2" w:rsidRPr="003A5CB2" w:rsidRDefault="003A5CB2" w:rsidP="003A5CB2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 w:rsidRPr="003A5CB2">
        <w:rPr>
          <w:rFonts w:ascii="楷体_GB2312" w:eastAsia="楷体_GB2312" w:hAnsi="楷体_GB2312" w:hint="eastAsia"/>
          <w:color w:val="000000"/>
          <w:sz w:val="32"/>
          <w:lang w:eastAsia="zh-CN"/>
        </w:rPr>
        <w:t>（三）医疗</w:t>
      </w:r>
      <w:r w:rsidRPr="003A5CB2">
        <w:rPr>
          <w:rFonts w:ascii="楷体_GB2312" w:eastAsia="楷体_GB2312" w:hAnsi="楷体_GB2312"/>
          <w:color w:val="000000"/>
          <w:sz w:val="32"/>
          <w:lang w:eastAsia="zh-CN"/>
        </w:rPr>
        <w:t>康复用房。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内设医务室或护理站的，应按照《国家卫生计生委办公厅关于印发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&lt;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养老机构医务室基本标准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lastRenderedPageBreak/>
        <w:t>（试行）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&gt;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和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&lt;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养老机构护理站基本标准（试行）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&gt;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的通知》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(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国卫办医发〔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2014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〕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57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号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)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执行。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三、分类设施最低配建标准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养老机构</w:t>
      </w:r>
      <w:r>
        <w:rPr>
          <w:rFonts w:ascii="楷体_GB2312" w:eastAsia="楷体_GB2312" w:hAnsi="楷体_GB2312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按</w:t>
      </w:r>
      <w:r w:rsidR="00A90765">
        <w:rPr>
          <w:rFonts w:ascii="仿宋_GB2312" w:eastAsia="仿宋_GB2312" w:hAnsi="仿宋_GB2312"/>
          <w:color w:val="000000"/>
          <w:sz w:val="32"/>
          <w:lang w:eastAsia="zh-CN"/>
        </w:rPr>
        <w:t>《老年人照料设施建筑设计标准》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执行，护理型床位占比应符合国家有关规定；居室应配置紧急呼叫装置和智能化照护设备。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（二）社区居家养老服务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中心</w:t>
      </w:r>
      <w:r>
        <w:rPr>
          <w:rFonts w:ascii="楷体_GB2312" w:eastAsia="楷体_GB2312" w:hAnsi="楷体_GB2312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按</w:t>
      </w:r>
      <w:r w:rsidR="00A90765">
        <w:rPr>
          <w:rFonts w:ascii="仿宋_GB2312" w:eastAsia="仿宋_GB2312" w:hAnsi="仿宋_GB2312"/>
          <w:color w:val="000000"/>
          <w:sz w:val="32"/>
          <w:lang w:eastAsia="zh-CN"/>
        </w:rPr>
        <w:t>《社区老年人日间照料中心建设标准》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执行，建筑面积不应低于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150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㎡，服务半径不宜大于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15分钟</w:t>
      </w:r>
      <w:r>
        <w:rPr>
          <w:rFonts w:ascii="仿宋_GB2312" w:eastAsia="仿宋_GB2312" w:hAnsi="仿宋_GB2312"/>
          <w:color w:val="000000"/>
          <w:sz w:val="32"/>
          <w:lang w:eastAsia="zh-CN"/>
        </w:rPr>
        <w:t>；应设日间照料室、康复训练室、多功能活动室、助餐区，半数以上房间应满足日照标准。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（三）助餐设施。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应符合《长春市敬老餐厅管理办法》要求，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就餐区域使用面积不应小于25㎡（可容纳10人同时就餐）；应设置配餐、食品处理、就餐、清洗消毒等功能分区；应取得食品经营许可，配备明厨亮灶设备并接入监管平台；应在醒目位置加挂统一设计的敬老餐厅标识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（四）老年人活动中心。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应满足辖区内老年人活动需求，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建筑面积不应低于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</w:t>
      </w:r>
      <w:r>
        <w:rPr>
          <w:rFonts w:ascii="仿宋_GB2312" w:eastAsia="仿宋_GB2312" w:hAnsi="仿宋_GB2312"/>
          <w:color w:val="000000"/>
          <w:sz w:val="32"/>
          <w:lang w:eastAsia="zh-CN"/>
        </w:rPr>
        <w:t>00㎡；多功能活动室面积不应小于总建筑面积的30%；应配备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文娱设备、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健身器材、多媒体设备，并设专（兼）职管理人员。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（五）银发商店。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应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满足商品（服务）正常展示与老年顾客通行需求，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设置适老化产品展示购买区、体验区、租赁区及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健康咨询区；产品陈列高度应便于老年人取用，设置醒目大字号价格标签及老年人优先结账通道。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lang w:eastAsia="zh-CN"/>
        </w:rPr>
        <w:t>四、</w:t>
      </w:r>
      <w:r>
        <w:rPr>
          <w:rFonts w:ascii="黑体" w:eastAsia="黑体" w:hAnsi="黑体"/>
          <w:color w:val="000000"/>
          <w:sz w:val="32"/>
          <w:lang w:eastAsia="zh-CN"/>
        </w:rPr>
        <w:t>附则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本建设基本要求国家和省另有规定的，从其规定。改建项目间距、日照、退界、交通、市政配套、绿地率等指标，可按不低于现状水平控制；确需适当调整容积率、建筑规模的，由规划和自然资源部门依法办理。</w:t>
      </w:r>
    </w:p>
    <w:sectPr w:rsidR="007D47C6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A1" w:rsidRDefault="00DB09A1">
      <w:pPr>
        <w:spacing w:line="240" w:lineRule="auto"/>
      </w:pPr>
      <w:r>
        <w:separator/>
      </w:r>
    </w:p>
  </w:endnote>
  <w:endnote w:type="continuationSeparator" w:id="0">
    <w:p w:rsidR="00DB09A1" w:rsidRDefault="00DB0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011568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7D47C6" w:rsidRDefault="00C60A96">
        <w:pPr>
          <w:pStyle w:val="a9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90765" w:rsidRPr="00A90765">
          <w:rPr>
            <w:rFonts w:ascii="宋体" w:eastAsia="宋体" w:hAnsi="宋体"/>
            <w:noProof/>
            <w:sz w:val="28"/>
            <w:szCs w:val="28"/>
            <w:lang w:val="zh-CN" w:eastAsia="zh-CN"/>
          </w:rPr>
          <w:t>-</w:t>
        </w:r>
        <w:r w:rsidR="00A90765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D47C6" w:rsidRDefault="007D4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A1" w:rsidRDefault="00DB09A1">
      <w:pPr>
        <w:spacing w:after="0"/>
      </w:pPr>
      <w:r>
        <w:separator/>
      </w:r>
    </w:p>
  </w:footnote>
  <w:footnote w:type="continuationSeparator" w:id="0">
    <w:p w:rsidR="00DB09A1" w:rsidRDefault="00DB09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310F"/>
    <w:rsid w:val="000B3479"/>
    <w:rsid w:val="0015074B"/>
    <w:rsid w:val="0029639D"/>
    <w:rsid w:val="00296599"/>
    <w:rsid w:val="00326F90"/>
    <w:rsid w:val="003A5CB2"/>
    <w:rsid w:val="003D1AD4"/>
    <w:rsid w:val="00423F5D"/>
    <w:rsid w:val="00490F7C"/>
    <w:rsid w:val="00685970"/>
    <w:rsid w:val="00691171"/>
    <w:rsid w:val="00694219"/>
    <w:rsid w:val="007A0FEE"/>
    <w:rsid w:val="007D47C6"/>
    <w:rsid w:val="0091050A"/>
    <w:rsid w:val="009E6EFD"/>
    <w:rsid w:val="00A076FD"/>
    <w:rsid w:val="00A51EB5"/>
    <w:rsid w:val="00A87014"/>
    <w:rsid w:val="00A90765"/>
    <w:rsid w:val="00AA1D8D"/>
    <w:rsid w:val="00AF3ACF"/>
    <w:rsid w:val="00B47730"/>
    <w:rsid w:val="00BE7567"/>
    <w:rsid w:val="00C60A96"/>
    <w:rsid w:val="00CB0664"/>
    <w:rsid w:val="00DB09A1"/>
    <w:rsid w:val="00E15B0F"/>
    <w:rsid w:val="00E30F32"/>
    <w:rsid w:val="00E5421D"/>
    <w:rsid w:val="00E944A1"/>
    <w:rsid w:val="00F32DA5"/>
    <w:rsid w:val="00F53397"/>
    <w:rsid w:val="00FC693F"/>
    <w:rsid w:val="232F544B"/>
    <w:rsid w:val="5EE85328"/>
    <w:rsid w:val="61DF66B7"/>
    <w:rsid w:val="640146EE"/>
    <w:rsid w:val="6C9827F7"/>
    <w:rsid w:val="6F3D2E94"/>
    <w:rsid w:val="7B6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E1AE851-5256-4C37-A8C9-E61058F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2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3">
    <w:name w:val="Body Text 3"/>
    <w:basedOn w:val="a1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7">
    <w:name w:val="Body Text"/>
    <w:basedOn w:val="a1"/>
    <w:link w:val="Char0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2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8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9">
    <w:name w:val="footer"/>
    <w:basedOn w:val="a1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header"/>
    <w:basedOn w:val="a1"/>
    <w:link w:val="Char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Subtitle"/>
    <w:basedOn w:val="a1"/>
    <w:next w:val="a1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3">
    <w:name w:val="Body Text 2"/>
    <w:basedOn w:val="a1"/>
    <w:link w:val="2Char0"/>
    <w:uiPriority w:val="99"/>
    <w:unhideWhenUsed/>
    <w:qFormat/>
    <w:pPr>
      <w:spacing w:after="120" w:line="480" w:lineRule="auto"/>
    </w:pPr>
  </w:style>
  <w:style w:type="paragraph" w:styleId="24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d">
    <w:name w:val="Title"/>
    <w:basedOn w:val="a1"/>
    <w:next w:val="a1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0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1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35">
    <w:name w:val="Medium Grid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2">
    <w:name w:val="Dark List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3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000000" w:themeFill="tex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C4C74" w:themeFill="accen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772C2A" w:themeFill="accent2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5E7530" w:themeFill="accent3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4C3B62" w:themeFill="accent4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76A7C" w:themeFill="accent5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B65608" w:themeFill="accent6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4">
    <w:name w:val="Colorful List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5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character" w:customStyle="1" w:styleId="Char2">
    <w:name w:val="页眉 Char"/>
    <w:basedOn w:val="a2"/>
    <w:link w:val="aa"/>
    <w:uiPriority w:val="99"/>
  </w:style>
  <w:style w:type="character" w:customStyle="1" w:styleId="Char1">
    <w:name w:val="页脚 Char"/>
    <w:basedOn w:val="a2"/>
    <w:link w:val="a9"/>
    <w:uiPriority w:val="99"/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1Char">
    <w:name w:val="标题 1 Char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4">
    <w:name w:val="标题 Char"/>
    <w:basedOn w:val="a2"/>
    <w:link w:val="ad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2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Char0">
    <w:name w:val="正文文本 Char"/>
    <w:basedOn w:val="a2"/>
    <w:link w:val="a7"/>
    <w:uiPriority w:val="99"/>
    <w:qFormat/>
  </w:style>
  <w:style w:type="character" w:customStyle="1" w:styleId="2Char0">
    <w:name w:val="正文文本 2 Char"/>
    <w:basedOn w:val="a2"/>
    <w:link w:val="23"/>
    <w:uiPriority w:val="99"/>
    <w:qFormat/>
  </w:style>
  <w:style w:type="character" w:customStyle="1" w:styleId="3Char0">
    <w:name w:val="正文文本 3 Char"/>
    <w:basedOn w:val="a2"/>
    <w:link w:val="33"/>
    <w:uiPriority w:val="99"/>
    <w:qFormat/>
    <w:rPr>
      <w:sz w:val="16"/>
      <w:szCs w:val="16"/>
    </w:rPr>
  </w:style>
  <w:style w:type="character" w:customStyle="1" w:styleId="Char">
    <w:name w:val="宏文本 Char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a">
    <w:name w:val="Quote"/>
    <w:basedOn w:val="a1"/>
    <w:next w:val="a1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2"/>
    <w:link w:val="afa"/>
    <w:uiPriority w:val="29"/>
    <w:qFormat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4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F02E0-0C53-4CB6-863C-6207AD09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249</Words>
  <Characters>1420</Characters>
  <Application>Microsoft Office Word</Application>
  <DocSecurity>0</DocSecurity>
  <Lines>11</Lines>
  <Paragraphs>3</Paragraphs>
  <ScaleCrop>false</ScaleCrop>
  <Company>Sinopec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微软中国</cp:lastModifiedBy>
  <cp:revision>23</cp:revision>
  <dcterms:created xsi:type="dcterms:W3CDTF">2013-12-23T23:15:00Z</dcterms:created>
  <dcterms:modified xsi:type="dcterms:W3CDTF">2026-07-01T07:03:00Z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eyJoZGlkIjoiNmZkYzMxOTViODRiZDEzNWY5ZjVmMWI5NjE2NzUzZmUiLCJ1c2VySWQiOiI1ODI4MzYzODkifQ==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F0C62888608047F7A28AB6DEE4F2ADF6_13</vt:lpwstr>
  </property>
</Properties>
</file>