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313" w:beforeLines="100" w:after="313" w:afterLines="100" w:line="660" w:lineRule="exact"/>
        <w:ind w:firstLine="0" w:firstLineChars="0"/>
        <w:jc w:val="center"/>
        <w:textAlignment w:val="auto"/>
        <w:rPr>
          <w:rFonts w:hint="eastAsia" w:asciiTheme="majorEastAsia" w:hAnsiTheme="majorEastAsia" w:eastAsiaTheme="majorEastAsia" w:cstheme="majorEastAsia"/>
          <w:b/>
          <w:bCs/>
          <w:sz w:val="44"/>
          <w:szCs w:val="44"/>
        </w:rPr>
      </w:pPr>
    </w:p>
    <w:p>
      <w:pPr>
        <w:keepNext w:val="0"/>
        <w:keepLines w:val="0"/>
        <w:pageBreakBefore w:val="0"/>
        <w:widowControl w:val="0"/>
        <w:kinsoku/>
        <w:wordWrap/>
        <w:overflowPunct/>
        <w:topLinePunct w:val="0"/>
        <w:autoSpaceDE/>
        <w:autoSpaceDN/>
        <w:bidi w:val="0"/>
        <w:adjustRightInd/>
        <w:snapToGrid/>
        <w:spacing w:before="313" w:beforeLines="100" w:after="313" w:afterLines="100" w:line="660" w:lineRule="exact"/>
        <w:ind w:firstLine="0" w:firstLineChars="0"/>
        <w:jc w:val="center"/>
        <w:textAlignment w:val="auto"/>
        <w:rPr>
          <w:rFonts w:hint="eastAsia" w:asciiTheme="majorEastAsia" w:hAnsiTheme="majorEastAsia" w:eastAsiaTheme="majorEastAsia" w:cstheme="majorEastAsia"/>
          <w:b/>
          <w:bCs/>
          <w:sz w:val="44"/>
          <w:szCs w:val="44"/>
        </w:rPr>
      </w:pPr>
    </w:p>
    <w:p>
      <w:pPr>
        <w:keepNext w:val="0"/>
        <w:keepLines w:val="0"/>
        <w:pageBreakBefore w:val="0"/>
        <w:widowControl w:val="0"/>
        <w:kinsoku/>
        <w:wordWrap/>
        <w:overflowPunct/>
        <w:topLinePunct w:val="0"/>
        <w:autoSpaceDE/>
        <w:autoSpaceDN/>
        <w:bidi w:val="0"/>
        <w:adjustRightInd/>
        <w:snapToGrid/>
        <w:spacing w:before="313" w:beforeLines="100" w:after="313" w:afterLines="100" w:line="660" w:lineRule="exact"/>
        <w:ind w:firstLine="0" w:firstLineChars="0"/>
        <w:jc w:val="center"/>
        <w:textAlignment w:val="auto"/>
        <w:rPr>
          <w:rFonts w:hint="eastAsia" w:asciiTheme="majorEastAsia" w:hAnsiTheme="majorEastAsia" w:eastAsiaTheme="majorEastAsia" w:cstheme="majorEastAsia"/>
          <w:b/>
          <w:bCs/>
          <w:sz w:val="44"/>
          <w:szCs w:val="44"/>
        </w:rPr>
      </w:pPr>
    </w:p>
    <w:p>
      <w:pPr>
        <w:keepNext w:val="0"/>
        <w:keepLines w:val="0"/>
        <w:pageBreakBefore w:val="0"/>
        <w:widowControl w:val="0"/>
        <w:kinsoku/>
        <w:wordWrap/>
        <w:overflowPunct/>
        <w:topLinePunct w:val="0"/>
        <w:autoSpaceDE/>
        <w:autoSpaceDN/>
        <w:bidi w:val="0"/>
        <w:adjustRightInd/>
        <w:snapToGrid/>
        <w:spacing w:before="313" w:beforeLines="100" w:after="313" w:afterLines="100" w:line="660" w:lineRule="exact"/>
        <w:ind w:firstLine="0" w:firstLineChars="0"/>
        <w:jc w:val="center"/>
        <w:textAlignment w:val="auto"/>
        <w:rPr>
          <w:rFonts w:hint="eastAsia" w:ascii="仿宋" w:hAnsi="仿宋" w:eastAsia="仿宋" w:cs="仿宋"/>
          <w:b/>
          <w:bCs/>
          <w:lang w:val="en-US" w:eastAsia="zh-CN"/>
        </w:rPr>
      </w:pPr>
      <w:r>
        <w:rPr>
          <w:rFonts w:hint="eastAsia" w:asciiTheme="majorEastAsia" w:hAnsiTheme="majorEastAsia" w:eastAsiaTheme="majorEastAsia" w:cstheme="majorEastAsia"/>
          <w:b/>
          <w:bCs/>
          <w:sz w:val="52"/>
          <w:szCs w:val="52"/>
        </w:rPr>
        <w:t>长春市康复辅助器具租赁服务协议</w:t>
      </w:r>
    </w:p>
    <w:p>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仿宋" w:hAnsi="仿宋" w:eastAsia="仿宋" w:cs="仿宋"/>
          <w:b/>
          <w:bCs/>
          <w:lang w:val="en-US" w:eastAsia="zh-CN"/>
        </w:rPr>
      </w:pPr>
    </w:p>
    <w:p>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仿宋" w:hAnsi="仿宋" w:eastAsia="仿宋" w:cs="仿宋"/>
          <w:b/>
          <w:bCs/>
          <w:lang w:val="en-US" w:eastAsia="zh-CN"/>
        </w:rPr>
      </w:pPr>
    </w:p>
    <w:p>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仿宋" w:hAnsi="仿宋" w:eastAsia="仿宋" w:cs="仿宋"/>
          <w:b/>
          <w:bCs/>
          <w:lang w:val="en-US" w:eastAsia="zh-CN"/>
        </w:rPr>
      </w:pPr>
    </w:p>
    <w:p>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仿宋" w:hAnsi="仿宋" w:eastAsia="仿宋" w:cs="仿宋"/>
          <w:b/>
          <w:bCs/>
          <w:lang w:val="en-US" w:eastAsia="zh-CN"/>
        </w:rPr>
      </w:pPr>
    </w:p>
    <w:p>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仿宋" w:hAnsi="仿宋" w:eastAsia="仿宋" w:cs="仿宋"/>
          <w:b/>
          <w:bCs/>
          <w:lang w:val="en-US" w:eastAsia="zh-CN"/>
        </w:rPr>
      </w:pPr>
    </w:p>
    <w:p>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仿宋" w:hAnsi="仿宋" w:eastAsia="仿宋" w:cs="仿宋"/>
          <w:b/>
          <w:bCs/>
          <w:lang w:val="en-US" w:eastAsia="zh-CN"/>
        </w:rPr>
      </w:pPr>
    </w:p>
    <w:p>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仿宋" w:hAnsi="仿宋" w:eastAsia="仿宋" w:cs="仿宋"/>
          <w:b/>
          <w:bCs/>
          <w:lang w:val="en-US" w:eastAsia="zh-CN"/>
        </w:rPr>
      </w:pPr>
    </w:p>
    <w:p>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仿宋" w:hAnsi="仿宋" w:eastAsia="仿宋" w:cs="仿宋"/>
          <w:b/>
          <w:bCs/>
          <w:lang w:val="en-US" w:eastAsia="zh-CN"/>
        </w:rPr>
      </w:pPr>
    </w:p>
    <w:p>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b/>
          <w:bCs/>
          <w:lang w:val="en-US" w:eastAsia="zh-CN"/>
        </w:rPr>
      </w:pPr>
    </w:p>
    <w:p>
      <w:pPr>
        <w:keepNext w:val="0"/>
        <w:keepLines w:val="0"/>
        <w:pageBreakBefore w:val="0"/>
        <w:widowControl w:val="0"/>
        <w:kinsoku/>
        <w:wordWrap/>
        <w:overflowPunct/>
        <w:topLinePunct w:val="0"/>
        <w:autoSpaceDE/>
        <w:autoSpaceDN/>
        <w:bidi w:val="0"/>
        <w:adjustRightInd/>
        <w:snapToGrid/>
        <w:spacing w:line="576" w:lineRule="exact"/>
        <w:ind w:firstLine="1911" w:firstLineChars="680"/>
        <w:textAlignment w:val="auto"/>
        <w:rPr>
          <w:rFonts w:hint="eastAsia" w:ascii="仿宋" w:hAnsi="仿宋" w:eastAsia="仿宋" w:cs="仿宋"/>
          <w:b/>
          <w:bCs/>
          <w:lang w:val="en-US" w:eastAsia="zh-CN"/>
        </w:rPr>
      </w:pPr>
      <w:r>
        <w:rPr>
          <w:rFonts w:hint="eastAsia" w:ascii="仿宋" w:hAnsi="仿宋" w:eastAsia="仿宋" w:cs="仿宋"/>
          <w:b/>
          <w:bCs/>
          <w:lang w:val="en-US" w:eastAsia="zh-CN"/>
        </w:rPr>
        <w:t>甲方：长春市民政局</w:t>
      </w:r>
    </w:p>
    <w:p>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仿宋" w:hAnsi="仿宋" w:eastAsia="仿宋" w:cs="仿宋"/>
          <w:b/>
          <w:bCs/>
          <w:lang w:val="en-US" w:eastAsia="zh-CN"/>
        </w:rPr>
      </w:pPr>
      <w:r>
        <w:rPr>
          <w:rFonts w:hint="eastAsia" w:ascii="仿宋" w:hAnsi="仿宋" w:eastAsia="仿宋" w:cs="仿宋"/>
          <w:b/>
          <w:bCs/>
          <w:lang w:val="en-US" w:eastAsia="zh-CN"/>
        </w:rPr>
        <w:t>乙方：吉林省卓雅老年服务有限公司</w:t>
      </w:r>
    </w:p>
    <w:p>
      <w:pPr>
        <w:keepNext w:val="0"/>
        <w:keepLines w:val="0"/>
        <w:pageBreakBefore w:val="0"/>
        <w:widowControl w:val="0"/>
        <w:kinsoku/>
        <w:wordWrap/>
        <w:overflowPunct/>
        <w:topLinePunct w:val="0"/>
        <w:autoSpaceDE/>
        <w:autoSpaceDN/>
        <w:bidi w:val="0"/>
        <w:adjustRightInd/>
        <w:snapToGrid/>
        <w:spacing w:line="576" w:lineRule="exact"/>
        <w:ind w:firstLine="0" w:firstLineChars="0"/>
        <w:textAlignment w:val="auto"/>
        <w:rPr>
          <w:rFonts w:hint="eastAsia" w:ascii="仿宋" w:hAnsi="仿宋" w:eastAsia="仿宋" w:cs="仿宋"/>
          <w:b/>
          <w:bCs/>
          <w:lang w:val="en-US" w:eastAsia="zh-CN"/>
        </w:rPr>
      </w:pPr>
    </w:p>
    <w:p>
      <w:pPr>
        <w:keepNext w:val="0"/>
        <w:keepLines w:val="0"/>
        <w:pageBreakBefore w:val="0"/>
        <w:widowControl w:val="0"/>
        <w:kinsoku/>
        <w:wordWrap/>
        <w:overflowPunct/>
        <w:topLinePunct w:val="0"/>
        <w:autoSpaceDE/>
        <w:autoSpaceDN/>
        <w:bidi w:val="0"/>
        <w:adjustRightInd/>
        <w:snapToGrid/>
        <w:spacing w:line="576" w:lineRule="exact"/>
        <w:ind w:firstLine="0" w:firstLineChars="0"/>
        <w:textAlignment w:val="auto"/>
        <w:rPr>
          <w:rFonts w:hint="eastAsia" w:ascii="仿宋" w:hAnsi="仿宋" w:eastAsia="仿宋" w:cs="仿宋"/>
          <w:b/>
          <w:bCs/>
          <w:lang w:val="en-US" w:eastAsia="zh-CN"/>
        </w:rPr>
      </w:pPr>
    </w:p>
    <w:p>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仿宋" w:hAnsi="仿宋" w:eastAsia="仿宋" w:cs="仿宋"/>
          <w:b/>
          <w:bCs/>
          <w:lang w:val="en-US" w:eastAsia="zh-CN"/>
        </w:rPr>
      </w:pPr>
      <w:r>
        <w:rPr>
          <w:rFonts w:hint="eastAsia" w:ascii="仿宋" w:hAnsi="仿宋" w:eastAsia="仿宋" w:cs="仿宋"/>
          <w:b/>
          <w:bCs/>
          <w:lang w:val="en-US" w:eastAsia="zh-CN"/>
        </w:rPr>
        <w:t>202</w:t>
      </w:r>
      <w:r>
        <w:rPr>
          <w:rFonts w:hint="eastAsia" w:ascii="仿宋" w:hAnsi="仿宋" w:cs="仿宋"/>
          <w:b/>
          <w:bCs/>
          <w:lang w:val="en-US" w:eastAsia="zh-CN"/>
        </w:rPr>
        <w:t>6</w:t>
      </w:r>
      <w:r>
        <w:rPr>
          <w:rFonts w:hint="eastAsia" w:ascii="仿宋" w:hAnsi="仿宋" w:eastAsia="仿宋" w:cs="仿宋"/>
          <w:b/>
          <w:bCs/>
          <w:lang w:val="en-US" w:eastAsia="zh-CN"/>
        </w:rPr>
        <w:t>年7月</w:t>
      </w:r>
      <w:r>
        <w:rPr>
          <w:rFonts w:hint="eastAsia" w:ascii="仿宋" w:hAnsi="仿宋" w:cs="仿宋"/>
          <w:b/>
          <w:bCs/>
          <w:lang w:val="en-US" w:eastAsia="zh-CN"/>
        </w:rPr>
        <w:t>19</w:t>
      </w:r>
      <w:r>
        <w:rPr>
          <w:rFonts w:hint="eastAsia" w:ascii="仿宋" w:hAnsi="仿宋" w:eastAsia="仿宋" w:cs="仿宋"/>
          <w:b/>
          <w:bCs/>
          <w:lang w:val="en-US" w:eastAsia="zh-CN"/>
        </w:rPr>
        <w:t>日</w:t>
      </w:r>
    </w:p>
    <w:p>
      <w:pPr>
        <w:keepNext w:val="0"/>
        <w:keepLines w:val="0"/>
        <w:pageBreakBefore w:val="0"/>
        <w:widowControl w:val="0"/>
        <w:kinsoku/>
        <w:wordWrap/>
        <w:overflowPunct/>
        <w:topLinePunct w:val="0"/>
        <w:autoSpaceDE/>
        <w:autoSpaceDN/>
        <w:bidi w:val="0"/>
        <w:adjustRightInd/>
        <w:snapToGrid/>
        <w:spacing w:before="313" w:beforeLines="100" w:after="313" w:afterLines="100" w:line="660" w:lineRule="exact"/>
        <w:ind w:firstLine="0" w:firstLineChars="0"/>
        <w:jc w:val="center"/>
        <w:textAlignment w:val="auto"/>
        <w:rPr>
          <w:rFonts w:hint="eastAsia" w:asciiTheme="majorEastAsia" w:hAnsiTheme="majorEastAsia" w:eastAsiaTheme="majorEastAsia" w:cstheme="majorEastAsia"/>
          <w:b/>
          <w:bCs/>
          <w:sz w:val="44"/>
          <w:szCs w:val="36"/>
        </w:rPr>
        <w:sectPr>
          <w:footerReference r:id="rId5" w:type="default"/>
          <w:pgSz w:w="11906" w:h="16838"/>
          <w:pgMar w:top="1440" w:right="1800" w:bottom="1440" w:left="1800" w:header="851" w:footer="992" w:gutter="0"/>
          <w:pgNumType w:fmt="decimal"/>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before="313" w:beforeLines="100" w:after="313" w:afterLines="100" w:line="660" w:lineRule="exact"/>
        <w:ind w:firstLine="0" w:firstLineChars="0"/>
        <w:jc w:val="center"/>
        <w:textAlignment w:val="auto"/>
        <w:rPr>
          <w:rFonts w:hint="eastAsia" w:asciiTheme="majorEastAsia" w:hAnsiTheme="majorEastAsia" w:eastAsiaTheme="majorEastAsia" w:cstheme="majorEastAsia"/>
          <w:b/>
          <w:bCs/>
        </w:rPr>
      </w:pPr>
      <w:r>
        <w:rPr>
          <w:rFonts w:hint="eastAsia" w:asciiTheme="majorEastAsia" w:hAnsiTheme="majorEastAsia" w:eastAsiaTheme="majorEastAsia" w:cstheme="majorEastAsia"/>
          <w:b/>
          <w:bCs/>
          <w:sz w:val="44"/>
          <w:szCs w:val="36"/>
        </w:rPr>
        <w:t>长春市康复辅助器具租赁服务协议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甲方：长春市民政局</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法定代表人</w:t>
      </w:r>
      <w:r>
        <w:rPr>
          <w:rFonts w:hint="eastAsia" w:ascii="仿宋" w:hAnsi="仿宋" w:cs="仿宋"/>
          <w:sz w:val="24"/>
          <w:szCs w:val="24"/>
          <w:lang w:eastAsia="zh-CN"/>
        </w:rPr>
        <w:t>或委托代理人</w:t>
      </w:r>
      <w:r>
        <w:rPr>
          <w:rFonts w:hint="eastAsia" w:ascii="仿宋" w:hAnsi="仿宋" w:eastAsia="仿宋" w:cs="仿宋"/>
          <w:sz w:val="24"/>
          <w:szCs w:val="24"/>
        </w:rPr>
        <w:t>：</w:t>
      </w:r>
      <w:r>
        <w:rPr>
          <w:rFonts w:hint="eastAsia" w:ascii="仿宋" w:hAnsi="仿宋" w:cs="仿宋"/>
          <w:sz w:val="24"/>
          <w:szCs w:val="24"/>
          <w:lang w:eastAsia="zh-CN"/>
        </w:rPr>
        <w:t>李勇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联系方式：0431-87905330</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地址：长春市绿园区皓月大路1155号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乙方：吉林省卓雅老年服务有限公司</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法定代表人</w:t>
      </w:r>
      <w:r>
        <w:rPr>
          <w:rFonts w:hint="eastAsia" w:ascii="仿宋" w:hAnsi="仿宋" w:cs="仿宋"/>
          <w:sz w:val="24"/>
          <w:szCs w:val="24"/>
          <w:lang w:eastAsia="zh-CN"/>
        </w:rPr>
        <w:t>或委托代理人</w:t>
      </w:r>
      <w:r>
        <w:rPr>
          <w:rFonts w:hint="eastAsia" w:ascii="仿宋" w:hAnsi="仿宋" w:eastAsia="仿宋" w:cs="仿宋"/>
          <w:sz w:val="24"/>
          <w:szCs w:val="24"/>
        </w:rPr>
        <w:t>：刘淑云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联系方式：0431-80609055</w:t>
      </w:r>
    </w:p>
    <w:p>
      <w:pPr>
        <w:keepNext w:val="0"/>
        <w:keepLines w:val="0"/>
        <w:pageBreakBefore w:val="0"/>
        <w:widowControl w:val="0"/>
        <w:kinsoku/>
        <w:wordWrap/>
        <w:overflowPunct/>
        <w:topLinePunct w:val="0"/>
        <w:autoSpaceDE/>
        <w:autoSpaceDN/>
        <w:bidi w:val="0"/>
        <w:adjustRightInd/>
        <w:snapToGrid/>
        <w:spacing w:line="360" w:lineRule="auto"/>
        <w:ind w:left="476" w:leftChars="170" w:firstLine="0" w:firstLineChars="0"/>
        <w:textAlignment w:val="auto"/>
        <w:rPr>
          <w:rFonts w:hint="eastAsia" w:ascii="仿宋" w:hAnsi="仿宋" w:eastAsia="仿宋" w:cs="仿宋"/>
          <w:sz w:val="24"/>
          <w:szCs w:val="24"/>
          <w:lang w:eastAsia="zh-CN"/>
        </w:rPr>
      </w:pPr>
      <w:r>
        <w:rPr>
          <w:rFonts w:hint="eastAsia" w:ascii="仿宋" w:hAnsi="仿宋" w:eastAsia="仿宋" w:cs="仿宋"/>
          <w:sz w:val="24"/>
          <w:szCs w:val="24"/>
        </w:rPr>
        <w:t>地址：</w:t>
      </w:r>
      <w:bookmarkStart w:id="0" w:name="PO_zs"/>
      <w:r>
        <w:rPr>
          <w:rFonts w:hint="eastAsia"/>
          <w:sz w:val="24"/>
          <w:szCs w:val="24"/>
          <w:lang w:eastAsia="zh-CN"/>
        </w:rPr>
        <w:t>吉林省长春市经济技术开发区经济开发区福州街以东，东南湖大路以北总部基地·金融中心</w:t>
      </w:r>
      <w:r>
        <w:rPr>
          <w:rFonts w:hint="eastAsia" w:ascii="仿宋" w:hAnsi="仿宋" w:eastAsia="仿宋" w:cs="仿宋"/>
          <w:sz w:val="24"/>
          <w:szCs w:val="24"/>
          <w:lang w:eastAsia="zh-CN"/>
        </w:rPr>
        <w:t>ZTB#-1幢0单元101号</w:t>
      </w:r>
      <w:bookmarkEnd w:id="0"/>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中华人民共和国民法典》《长春市康复辅助器具租赁服务实施细则(试行)》以及相关法律、法规的规定，甲乙双方本着自愿、平等、协商的原则，就长春市康复辅助器具租赁服务平台建设、服务补贴资金拨付等内容达成以下条款，并共同遵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黑体" w:hAnsi="黑体" w:eastAsia="黑体" w:cs="黑体"/>
          <w:b w:val="0"/>
          <w:bCs w:val="0"/>
          <w:sz w:val="24"/>
          <w:szCs w:val="24"/>
        </w:rPr>
      </w:pPr>
      <w:r>
        <w:rPr>
          <w:rFonts w:hint="eastAsia" w:ascii="黑体" w:hAnsi="黑体" w:eastAsia="黑体" w:cs="黑体"/>
          <w:b w:val="0"/>
          <w:bCs w:val="0"/>
          <w:sz w:val="24"/>
          <w:szCs w:val="24"/>
        </w:rPr>
        <w:t>一、合作项目概况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甲方就建设长春市康复辅助器具租赁服务试点，委托给乙方在法律规定的范围内进行管理、运营、维护，乙方保证在受托后提升被委托项目的惠民率及社会价值。</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项目名称：长春市康复辅助器具租赁服务项目。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依托长春市现有的康复辅助器具租赁服务站点(如果后期新增站点，应具有开发和推广新站点服务的能力),面向全市城区(不含双阳、九台)、开发区户籍的分散供养特困人员、城乡居民最低生活保障对象及低保边缘家庭成员、重点优抚对象、重度残疾人护理补贴对象、计划生育特殊家庭人员及60周岁(含)以上具有康复辅助器 具服务需求人员。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依据《长春市康复辅助器具租赁服务实施细则(试行)》的规定，采取线上、线下两种方式提供康复辅助器具租赁服务、宣传推广、器具展示、配送器具以及售后服务等，并由乙方开发建设康复辅助器具租赁服务线上平台，更好地满足困难人群的康复辅助器具租赁服务需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黑体" w:hAnsi="黑体" w:eastAsia="黑体" w:cs="黑体"/>
          <w:b w:val="0"/>
          <w:bCs w:val="0"/>
          <w:sz w:val="24"/>
          <w:szCs w:val="24"/>
        </w:rPr>
      </w:pPr>
      <w:r>
        <w:rPr>
          <w:rFonts w:hint="eastAsia" w:ascii="黑体" w:hAnsi="黑体" w:eastAsia="黑体" w:cs="黑体"/>
          <w:b w:val="0"/>
          <w:bCs w:val="0"/>
          <w:sz w:val="24"/>
          <w:szCs w:val="24"/>
        </w:rPr>
        <w:t>二、补贴资金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根据服务补贴资金结算：乙方每月底向甲方提供服务订单凭证，由甲方对租赁对象条件、补贴标准及服务费用等方面进行审核，并将审核结果于次月15日前告知乙方。乙方应于本服务开通后每年</w:t>
      </w:r>
      <w:r>
        <w:rPr>
          <w:rFonts w:hint="eastAsia" w:ascii="仿宋" w:hAnsi="仿宋" w:cs="仿宋"/>
          <w:sz w:val="24"/>
          <w:szCs w:val="24"/>
          <w:lang w:val="en-US" w:eastAsia="zh-CN"/>
        </w:rPr>
        <w:t>10月</w:t>
      </w:r>
      <w:r>
        <w:rPr>
          <w:rFonts w:hint="eastAsia" w:ascii="仿宋" w:hAnsi="仿宋" w:eastAsia="仿宋" w:cs="仿宋"/>
          <w:sz w:val="24"/>
          <w:szCs w:val="24"/>
        </w:rPr>
        <w:t>10日前向甲方开具相应金额的增值税专用发票，甲方财务部门核对无误后按符合康复辅助器具租赁条件的对象数量对给予资金进行结算支付。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黑体" w:hAnsi="黑体" w:eastAsia="黑体" w:cs="黑体"/>
          <w:b w:val="0"/>
          <w:bCs w:val="0"/>
          <w:sz w:val="24"/>
          <w:szCs w:val="24"/>
        </w:rPr>
      </w:pPr>
      <w:r>
        <w:rPr>
          <w:rFonts w:hint="eastAsia" w:ascii="黑体" w:hAnsi="黑体" w:eastAsia="黑体" w:cs="黑体"/>
          <w:b w:val="0"/>
          <w:bCs w:val="0"/>
          <w:sz w:val="24"/>
          <w:szCs w:val="24"/>
        </w:rPr>
        <w:t>三、双方银行账户信息</w:t>
      </w:r>
    </w:p>
    <w:p>
      <w:pPr>
        <w:keepNext w:val="0"/>
        <w:keepLines w:val="0"/>
        <w:pageBreakBefore w:val="0"/>
        <w:widowControl w:val="0"/>
        <w:kinsoku/>
        <w:wordWrap/>
        <w:overflowPunct/>
        <w:topLinePunct w:val="0"/>
        <w:autoSpaceDE/>
        <w:autoSpaceDN/>
        <w:bidi w:val="0"/>
        <w:adjustRightInd/>
        <w:snapToGrid/>
        <w:spacing w:line="360" w:lineRule="auto"/>
        <w:ind w:firstLine="481"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1.甲方开票信息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单位名称：长春市民政局</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统一社会信用代码：11220100013827269F</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地址：长春市绿园区皓月大路1155号</w:t>
      </w:r>
    </w:p>
    <w:p>
      <w:pPr>
        <w:keepNext w:val="0"/>
        <w:keepLines w:val="0"/>
        <w:pageBreakBefore w:val="0"/>
        <w:widowControl w:val="0"/>
        <w:kinsoku/>
        <w:wordWrap/>
        <w:overflowPunct/>
        <w:topLinePunct w:val="0"/>
        <w:autoSpaceDE/>
        <w:autoSpaceDN/>
        <w:bidi w:val="0"/>
        <w:adjustRightInd/>
        <w:snapToGrid/>
        <w:spacing w:line="360" w:lineRule="auto"/>
        <w:ind w:firstLine="481"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2.乙方银行账户信息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开票名称：吉林省卓雅老年服务有限公司</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地址：</w:t>
      </w:r>
      <w:r>
        <w:rPr>
          <w:rFonts w:hint="eastAsia"/>
          <w:sz w:val="24"/>
          <w:szCs w:val="24"/>
          <w:lang w:eastAsia="zh-CN"/>
        </w:rPr>
        <w:t>吉林省长春市经济技术开发区经济开发区福州街以东，东南湖大路以北总部基地·金融中心</w:t>
      </w:r>
      <w:r>
        <w:rPr>
          <w:rFonts w:hint="eastAsia" w:ascii="仿宋" w:hAnsi="仿宋" w:eastAsia="仿宋" w:cs="仿宋"/>
          <w:sz w:val="24"/>
          <w:szCs w:val="24"/>
          <w:lang w:eastAsia="zh-CN"/>
        </w:rPr>
        <w:t>ZTB#-1幢0单元101号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税号：91220102333627176</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开户行：吉林双阳农村商业银行股份有限公司金域支行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开户行帐号：0710518011015200009710</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黑体" w:hAnsi="黑体" w:eastAsia="黑体" w:cs="黑体"/>
          <w:b w:val="0"/>
          <w:bCs w:val="0"/>
          <w:sz w:val="24"/>
          <w:szCs w:val="24"/>
        </w:rPr>
      </w:pPr>
      <w:r>
        <w:rPr>
          <w:rFonts w:hint="eastAsia" w:ascii="黑体" w:hAnsi="黑体" w:eastAsia="黑体" w:cs="黑体"/>
          <w:b w:val="0"/>
          <w:bCs w:val="0"/>
          <w:sz w:val="24"/>
          <w:szCs w:val="24"/>
        </w:rPr>
        <w:t>四、甲方权利和义务</w:t>
      </w:r>
    </w:p>
    <w:p>
      <w:pPr>
        <w:keepNext w:val="0"/>
        <w:keepLines w:val="0"/>
        <w:pageBreakBefore w:val="0"/>
        <w:widowControl w:val="0"/>
        <w:kinsoku/>
        <w:wordWrap/>
        <w:overflowPunct/>
        <w:topLinePunct w:val="0"/>
        <w:autoSpaceDE/>
        <w:autoSpaceDN/>
        <w:bidi w:val="0"/>
        <w:adjustRightInd/>
        <w:snapToGrid/>
        <w:spacing w:line="360" w:lineRule="auto"/>
        <w:ind w:firstLine="481"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(一)甲方的权利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1.甲方有权随时向乙方了解项目进度，并要求乙方提供项目相关资料。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甲方有权对项目资金使用情况进行监督、检查，并要求乙方提供相关资料。乙方未按项目约定对资金进行使用的，甲方有权单方解除本协议(自书面解除通知到达乙方时解除),乙方应返还甲方支付的全部费用，并承担本协议总金额30%的违约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甲方有权按照本协议约定或有关法律法规、政府管理的相关职能规定，对本项目进行监督和检查，有权要求乙方按照监督检查情况制定相应措施并加以整改。甲方不因行使该监督和检查权而承担任何责任，也不因此减轻或免除乙方根据本协议约定或相关法律法规规定应承担的任何义务或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4.甲方有权在发现乙方履行协议过程中出现损害或可能损害公共利益、公共安全情形时即解除本协议(自书面解除通知到达乙方时解除),并不承担违约责任，且可要求乙方退还甲方全部已支付的价款。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5.甲方有权根据国家政策或法律法规的变动对服务项目的需求标准和质量要求作出相应变动或者取消项目，并不承担违约责任，且可要求乙方退还甲方全部已支付的价款。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6.甲方有权将乙方履行协议情况及不符合政府购买服务管理规定情况，向相关部门报告并纳入不良信用记录、年检(报)、评估、执法等监管体系中。</w:t>
      </w:r>
    </w:p>
    <w:p>
      <w:pPr>
        <w:keepNext w:val="0"/>
        <w:keepLines w:val="0"/>
        <w:pageBreakBefore w:val="0"/>
        <w:widowControl w:val="0"/>
        <w:kinsoku/>
        <w:wordWrap/>
        <w:overflowPunct/>
        <w:topLinePunct w:val="0"/>
        <w:autoSpaceDE/>
        <w:autoSpaceDN/>
        <w:bidi w:val="0"/>
        <w:adjustRightInd/>
        <w:snapToGrid/>
        <w:spacing w:line="360" w:lineRule="auto"/>
        <w:ind w:firstLine="481"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(二)甲方的义务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1.甲方应及时向乙方提供与履行本协议相关的所有必须的文件、资料。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2.甲方应为乙方履行本协议过程中与相关政府部门及其他第三方的沟通、协调提供必要的协助。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3.甲方应按照协议约定支付服务补贴费用。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4.甲方每月要更新租赁对象名单，并及时反馈给乙方。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黑体" w:hAnsi="黑体" w:eastAsia="黑体" w:cs="黑体"/>
          <w:b w:val="0"/>
          <w:bCs w:val="0"/>
          <w:sz w:val="24"/>
          <w:szCs w:val="24"/>
        </w:rPr>
      </w:pPr>
      <w:r>
        <w:rPr>
          <w:rFonts w:hint="eastAsia" w:ascii="黑体" w:hAnsi="黑体" w:eastAsia="黑体" w:cs="黑体"/>
          <w:b w:val="0"/>
          <w:bCs w:val="0"/>
          <w:sz w:val="24"/>
          <w:szCs w:val="24"/>
        </w:rPr>
        <w:t>五、乙方的权利和义务</w:t>
      </w:r>
    </w:p>
    <w:p>
      <w:pPr>
        <w:keepNext w:val="0"/>
        <w:keepLines w:val="0"/>
        <w:pageBreakBefore w:val="0"/>
        <w:widowControl w:val="0"/>
        <w:kinsoku/>
        <w:wordWrap/>
        <w:overflowPunct/>
        <w:topLinePunct w:val="0"/>
        <w:autoSpaceDE/>
        <w:autoSpaceDN/>
        <w:bidi w:val="0"/>
        <w:adjustRightInd/>
        <w:snapToGrid/>
        <w:spacing w:line="360" w:lineRule="auto"/>
        <w:ind w:firstLine="481"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(一)乙方的权利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1.乙方有权按照本协议约定向甲方收取服务补贴费用。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2.乙方有权自甲方处获得与提供本协议项下服务相关的所有必须的文件、资料。</w:t>
      </w:r>
    </w:p>
    <w:p>
      <w:pPr>
        <w:keepNext w:val="0"/>
        <w:keepLines w:val="0"/>
        <w:pageBreakBefore w:val="0"/>
        <w:widowControl w:val="0"/>
        <w:kinsoku/>
        <w:wordWrap/>
        <w:overflowPunct/>
        <w:topLinePunct w:val="0"/>
        <w:autoSpaceDE/>
        <w:autoSpaceDN/>
        <w:bidi w:val="0"/>
        <w:adjustRightInd/>
        <w:snapToGrid/>
        <w:spacing w:line="360" w:lineRule="auto"/>
        <w:ind w:firstLine="481"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(二)乙方的义务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1.乙方应配备具有相应资质、特定经验的工作人员负责项目实施，按照本协议约定的标准、要求和时间执行项目。乙方指派</w:t>
      </w:r>
      <w:r>
        <w:rPr>
          <w:rFonts w:hint="eastAsia" w:ascii="仿宋" w:hAnsi="仿宋" w:cs="仿宋"/>
          <w:sz w:val="24"/>
          <w:szCs w:val="24"/>
          <w:lang w:val="en-US" w:eastAsia="zh-CN"/>
        </w:rPr>
        <w:t>陆峰</w:t>
      </w:r>
      <w:r>
        <w:rPr>
          <w:rFonts w:hint="eastAsia" w:ascii="仿宋" w:hAnsi="仿宋" w:eastAsia="仿宋" w:cs="仿宋"/>
          <w:sz w:val="24"/>
          <w:szCs w:val="24"/>
        </w:rPr>
        <w:t>(联系方式：0431-80609055)担任本项目的联系人，乙方应保证工作人员的稳定，不得随意</w:t>
      </w:r>
      <w:bookmarkStart w:id="1" w:name="_GoBack"/>
      <w:bookmarkEnd w:id="1"/>
      <w:r>
        <w:rPr>
          <w:rFonts w:hint="eastAsia" w:ascii="仿宋" w:hAnsi="仿宋" w:eastAsia="仿宋" w:cs="仿宋"/>
          <w:sz w:val="24"/>
          <w:szCs w:val="24"/>
        </w:rPr>
        <w:t>变更，如需变更联系人的，应当提前五日征得甲方书面同意；变更工作人员的，应提前三日征得甲方书面同意，此期间原工作人员仍应负责本项目的工作事宜。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2.乙方不得以任何理由将本协议项下的服务项目全部或部分转包给任何第三方。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乙方应全面履行本项目实施过程中的相关安全管理职责，因乙方未尽到管理职责发生安全事故的，由乙方承担相应的赔偿责任。因乙方器具出现问题导致他人人身或财产损害的，由乙方承担赔偿责任，若甲方为此承担了相应责任，有权向乙方追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乙方承诺根据本协议提供的服务及相关的软件和技术资料，均已取得有关知识产权的权利人的合法授权。如发生涉及专利权、著作权、商标权等知识产权争议纠纷，乙方负责处理并承担由此引起的全部法律及赔偿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5.乙方应接受并配合甲方或甲方组织的对本协议履行情况的监督与检查，对于甲方指出的问题，应及时作出合理解释，并予以纠正。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6.乙方应建立健全财务管理与报告制度，按要求向甲方提供资金的使用情况、项目执行情况、成果总结等材料，并将上述材料编制成册以配合甲方及甲方组织的监督检查。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7.乙方应根据甲方要求，无条件接受和配合甲方或甲方委托的会计师事务所进行的与本协议相关的审计。乙方应保存与本协议相关的记录和账目，保存期限为本协议履行完毕或终止后15年。经提前通知，甲方或甲方委托的会计师事务所有权检查、调阅并复制上述记录和账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8.项目终止后，乙方应无条件返还甲方向其提供的文件、资料并向甲方移交项目资料，同时乙方应当自留一份完整的项目档案并予以妥善保存。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黑体" w:hAnsi="黑体" w:eastAsia="黑体" w:cs="黑体"/>
          <w:b w:val="0"/>
          <w:bCs w:val="0"/>
          <w:sz w:val="24"/>
          <w:szCs w:val="24"/>
        </w:rPr>
      </w:pPr>
      <w:r>
        <w:rPr>
          <w:rFonts w:hint="eastAsia" w:ascii="黑体" w:hAnsi="黑体" w:eastAsia="黑体" w:cs="黑体"/>
          <w:b w:val="0"/>
          <w:bCs w:val="0"/>
          <w:sz w:val="24"/>
          <w:szCs w:val="24"/>
        </w:rPr>
        <w:t>六</w:t>
      </w:r>
      <w:r>
        <w:rPr>
          <w:rFonts w:hint="eastAsia" w:ascii="黑体" w:hAnsi="黑体" w:eastAsia="黑体" w:cs="黑体"/>
          <w:b w:val="0"/>
          <w:bCs w:val="0"/>
          <w:sz w:val="24"/>
          <w:szCs w:val="24"/>
          <w:lang w:eastAsia="zh-CN"/>
        </w:rPr>
        <w:t>、</w:t>
      </w:r>
      <w:r>
        <w:rPr>
          <w:rFonts w:hint="eastAsia" w:ascii="黑体" w:hAnsi="黑体" w:eastAsia="黑体" w:cs="黑体"/>
          <w:b w:val="0"/>
          <w:bCs w:val="0"/>
          <w:sz w:val="24"/>
          <w:szCs w:val="24"/>
        </w:rPr>
        <w:t>合作期限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合作期限自双方负责人、法定代表人或授权代理人签字并加盖公章之日起计算，即从202</w:t>
      </w:r>
      <w:r>
        <w:rPr>
          <w:rFonts w:hint="eastAsia" w:ascii="仿宋" w:hAnsi="仿宋" w:cs="仿宋"/>
          <w:sz w:val="24"/>
          <w:szCs w:val="24"/>
          <w:lang w:val="en-US" w:eastAsia="zh-CN"/>
        </w:rPr>
        <w:t>6</w:t>
      </w:r>
      <w:r>
        <w:rPr>
          <w:rFonts w:hint="eastAsia" w:ascii="仿宋" w:hAnsi="仿宋" w:eastAsia="仿宋" w:cs="仿宋"/>
          <w:sz w:val="24"/>
          <w:szCs w:val="24"/>
        </w:rPr>
        <w:t>年7月</w:t>
      </w:r>
      <w:r>
        <w:rPr>
          <w:rFonts w:hint="eastAsia" w:ascii="仿宋" w:hAnsi="仿宋" w:cs="仿宋"/>
          <w:sz w:val="24"/>
          <w:szCs w:val="24"/>
          <w:lang w:val="en-US" w:eastAsia="zh-CN"/>
        </w:rPr>
        <w:t>19</w:t>
      </w:r>
      <w:r>
        <w:rPr>
          <w:rFonts w:hint="eastAsia" w:ascii="仿宋" w:hAnsi="仿宋" w:eastAsia="仿宋" w:cs="仿宋"/>
          <w:sz w:val="24"/>
          <w:szCs w:val="24"/>
        </w:rPr>
        <w:t>日至202</w:t>
      </w:r>
      <w:r>
        <w:rPr>
          <w:rFonts w:hint="eastAsia" w:ascii="仿宋" w:hAnsi="仿宋" w:cs="仿宋"/>
          <w:sz w:val="24"/>
          <w:szCs w:val="24"/>
          <w:lang w:val="en-US" w:eastAsia="zh-CN"/>
        </w:rPr>
        <w:t>7</w:t>
      </w:r>
      <w:r>
        <w:rPr>
          <w:rFonts w:hint="eastAsia" w:ascii="仿宋" w:hAnsi="仿宋" w:eastAsia="仿宋" w:cs="仿宋"/>
          <w:sz w:val="24"/>
          <w:szCs w:val="24"/>
        </w:rPr>
        <w:t>年</w:t>
      </w:r>
      <w:r>
        <w:rPr>
          <w:rFonts w:hint="eastAsia" w:ascii="仿宋" w:hAnsi="仿宋" w:cs="仿宋"/>
          <w:sz w:val="24"/>
          <w:szCs w:val="24"/>
          <w:lang w:val="en-US" w:eastAsia="zh-CN"/>
        </w:rPr>
        <w:t>7</w:t>
      </w:r>
      <w:r>
        <w:rPr>
          <w:rFonts w:hint="eastAsia" w:ascii="仿宋" w:hAnsi="仿宋" w:eastAsia="仿宋" w:cs="仿宋"/>
          <w:sz w:val="24"/>
          <w:szCs w:val="24"/>
        </w:rPr>
        <w:t>月</w:t>
      </w:r>
      <w:r>
        <w:rPr>
          <w:rFonts w:hint="eastAsia" w:ascii="仿宋" w:hAnsi="仿宋" w:cs="仿宋"/>
          <w:sz w:val="24"/>
          <w:szCs w:val="24"/>
          <w:lang w:val="en-US" w:eastAsia="zh-CN"/>
        </w:rPr>
        <w:t>20</w:t>
      </w:r>
      <w:r>
        <w:rPr>
          <w:rFonts w:hint="eastAsia" w:ascii="仿宋" w:hAnsi="仿宋" w:eastAsia="仿宋" w:cs="仿宋"/>
          <w:sz w:val="24"/>
          <w:szCs w:val="24"/>
        </w:rPr>
        <w:t>日止。</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黑体" w:hAnsi="黑体" w:eastAsia="黑体" w:cs="黑体"/>
          <w:b w:val="0"/>
          <w:bCs w:val="0"/>
          <w:sz w:val="24"/>
          <w:szCs w:val="24"/>
        </w:rPr>
      </w:pPr>
      <w:r>
        <w:rPr>
          <w:rFonts w:hint="eastAsia" w:ascii="黑体" w:hAnsi="黑体" w:eastAsia="黑体" w:cs="黑体"/>
          <w:b w:val="0"/>
          <w:bCs w:val="0"/>
          <w:sz w:val="24"/>
          <w:szCs w:val="24"/>
        </w:rPr>
        <w:t>七</w:t>
      </w:r>
      <w:r>
        <w:rPr>
          <w:rFonts w:hint="eastAsia" w:ascii="黑体" w:hAnsi="黑体" w:eastAsia="黑体" w:cs="黑体"/>
          <w:b w:val="0"/>
          <w:bCs w:val="0"/>
          <w:sz w:val="24"/>
          <w:szCs w:val="24"/>
          <w:lang w:eastAsia="zh-CN"/>
        </w:rPr>
        <w:t>、</w:t>
      </w:r>
      <w:r>
        <w:rPr>
          <w:rFonts w:hint="eastAsia" w:ascii="黑体" w:hAnsi="黑体" w:eastAsia="黑体" w:cs="黑体"/>
          <w:b w:val="0"/>
          <w:bCs w:val="0"/>
          <w:sz w:val="24"/>
          <w:szCs w:val="24"/>
        </w:rPr>
        <w:t>违约责任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在本协议履行过程中，双方因违约而造成对方经济、社会效益等损失的应当予以全额赔偿。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1.甲方无正当理由拒绝拨付康复辅助器具租赁服务补贴资金，甲方逾期付款的，则每日按逾期金额的0.01%向乙方支付违约金。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2.乙方提供的服务不符合本项目相关文件和本协议规定的，甲方有权拒付补贴款并有权解除本协议(自书面解除通知到达乙方时解除),并且乙方须向甲方支付本协议总补贴款30%的违约金。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乙方不得擅自将本协议服务全部或部分转包第三方承担。如擅自转包，则甲方有权解除本协议(自书面解除通知到达乙方时解除),且甲方有权拒付租赁服务补贴资金，且乙方应向甲方支付本协议总补贴30%的违约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在本协议履行期间，若乙方与第三方发生知识产权等纠纷，乙方负责全权处理并承担全部责任，该等纠纷影响本协议履行的，甲方有权解除本协议(自书面解除通知到达乙方时解除),乙方支付甲方本协议总补贴款30%的违约金，给甲方造成损失的，乙方应承担全部赔偿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乙方在接受并配合甲方或甲方组织的对本协议履行情况的监督与检查的过程中，对于甲方指出的问题，乙方未及时作出合理解释并予以纠正超过三次的，甲方有权解除本协议(自书面解除通知到达乙方时解除),给甲方造成损失，乙方应承担全部赔偿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乙方不接受和配合甲方或甲方委托的会计师事务所进行的与本协议相关的审计或未按期保存与本协议相关的记录和账目，应支付甲方本协议总补贴款30%的违约金，给甲方造成损失的，乙方应承担赔偿责任。本协议的解除或终止，不影响本条款的实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7.乙方在开展租赁服务期间应严格执行甲方提供的政策法规执行，不得有任何形式的违规操作，包括但不限于乙方实行套取政府补贴资金的行为，否则，甲方有权依据法律法规的规定向相关部门进行举报，并有权解除本协议(自书面解除通知到达乙方时解除),给甲方造成损失的，乙方应承担赔偿责任。乙方触犯刑事犯罪的，甲方有权向公安、检察院等司法部门举报其犯罪行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8.乙方如有违反本协议其他约定事项的，应向甲方支付本协议总补贴款30%的违约金。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黑体" w:hAnsi="黑体" w:eastAsia="黑体" w:cs="黑体"/>
          <w:b w:val="0"/>
          <w:bCs w:val="0"/>
          <w:sz w:val="24"/>
          <w:szCs w:val="24"/>
        </w:rPr>
      </w:pPr>
      <w:r>
        <w:rPr>
          <w:rFonts w:hint="eastAsia" w:ascii="黑体" w:hAnsi="黑体" w:eastAsia="黑体" w:cs="黑体"/>
          <w:b w:val="0"/>
          <w:bCs w:val="0"/>
          <w:sz w:val="24"/>
          <w:szCs w:val="24"/>
        </w:rPr>
        <w:t>八、知识产权归属</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在协议履行期间，甲方拥有对《辅具租赁服务平台》端口所有功能免费使用权。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黑体" w:hAnsi="黑体" w:eastAsia="黑体" w:cs="黑体"/>
          <w:b w:val="0"/>
          <w:bCs w:val="0"/>
          <w:sz w:val="24"/>
          <w:szCs w:val="24"/>
        </w:rPr>
      </w:pPr>
      <w:r>
        <w:rPr>
          <w:rFonts w:hint="eastAsia" w:ascii="黑体" w:hAnsi="黑体" w:eastAsia="黑体" w:cs="黑体"/>
          <w:b w:val="0"/>
          <w:bCs w:val="0"/>
          <w:sz w:val="24"/>
          <w:szCs w:val="24"/>
        </w:rPr>
        <w:t>九</w:t>
      </w:r>
      <w:r>
        <w:rPr>
          <w:rFonts w:hint="eastAsia" w:ascii="黑体" w:hAnsi="黑体" w:eastAsia="黑体" w:cs="黑体"/>
          <w:b w:val="0"/>
          <w:bCs w:val="0"/>
          <w:sz w:val="24"/>
          <w:szCs w:val="24"/>
          <w:lang w:eastAsia="zh-CN"/>
        </w:rPr>
        <w:t>、</w:t>
      </w:r>
      <w:r>
        <w:rPr>
          <w:rFonts w:hint="eastAsia" w:ascii="黑体" w:hAnsi="黑体" w:eastAsia="黑体" w:cs="黑体"/>
          <w:b w:val="0"/>
          <w:bCs w:val="0"/>
          <w:sz w:val="24"/>
          <w:szCs w:val="24"/>
        </w:rPr>
        <w:t>保密条款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乙方应遵守国家有关保密的法律法规和行业规定，并对甲方提供的资料负有保密义务。未经甲方书面同意，不得将承接政府公共服务项目获得的政府、公民个人等各种信息和资料提供给其他单位和个人。如发生以上情况，乙方应向甲方支付本协议补贴资金总额30%的违约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黑体" w:hAnsi="黑体" w:eastAsia="黑体" w:cs="黑体"/>
          <w:b w:val="0"/>
          <w:bCs w:val="0"/>
          <w:sz w:val="24"/>
          <w:szCs w:val="24"/>
        </w:rPr>
      </w:pPr>
      <w:r>
        <w:rPr>
          <w:rFonts w:hint="eastAsia" w:ascii="黑体" w:hAnsi="黑体" w:eastAsia="黑体" w:cs="黑体"/>
          <w:b w:val="0"/>
          <w:bCs w:val="0"/>
          <w:sz w:val="24"/>
          <w:szCs w:val="24"/>
        </w:rPr>
        <w:t>十、争议的解决</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本协议在履行过程中发生的任何争议，如双方不能通过友好协商解决，双方均可以提交长春仲裁委员会仲裁处理。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黑体" w:hAnsi="黑体" w:eastAsia="黑体" w:cs="黑体"/>
          <w:b w:val="0"/>
          <w:bCs w:val="0"/>
          <w:sz w:val="24"/>
          <w:szCs w:val="24"/>
        </w:rPr>
      </w:pPr>
      <w:r>
        <w:rPr>
          <w:rFonts w:hint="eastAsia" w:ascii="黑体" w:hAnsi="黑体" w:eastAsia="黑体" w:cs="黑体"/>
          <w:b w:val="0"/>
          <w:bCs w:val="0"/>
          <w:sz w:val="24"/>
          <w:szCs w:val="24"/>
        </w:rPr>
        <w:t>十一、不可抗力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任何一方由于不可抗力原因不能履行协议时，应在不可抗力事件发生后1日内以书面形式通知对方，以减轻可能给对方造成的损失，在取得有关机构的不可抗力证明或双方协商、谅解、确认后，允许延期履行或签订补充协议，并可根据具体情况部分或全部免于该方的违约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黑体" w:hAnsi="黑体" w:eastAsia="黑体" w:cs="黑体"/>
          <w:b w:val="0"/>
          <w:bCs w:val="0"/>
          <w:sz w:val="24"/>
          <w:szCs w:val="24"/>
        </w:rPr>
      </w:pPr>
      <w:r>
        <w:rPr>
          <w:rFonts w:hint="eastAsia" w:ascii="黑体" w:hAnsi="黑体" w:eastAsia="黑体" w:cs="黑体"/>
          <w:b w:val="0"/>
          <w:bCs w:val="0"/>
          <w:sz w:val="24"/>
          <w:szCs w:val="24"/>
        </w:rPr>
        <w:t>十二、协议的终止</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有以下情形的，本协议终止：</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1.本协议期满，双方未续签协议的；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2.乙方服务能力或相关资质的丧失，致使本协议服务无法正常提供的；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3.在履行协议过程中，发现乙方已不符合承接主体应具备的条件，造成协议无法履行的；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4.受国家政策或法律法规变动影响，经双方协商终止本协议的。出现以上情形，协议终止后，场地及场地内设施设备等甲方有权收回。</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黑体" w:hAnsi="黑体" w:eastAsia="黑体" w:cs="黑体"/>
          <w:b w:val="0"/>
          <w:bCs w:val="0"/>
          <w:sz w:val="24"/>
          <w:szCs w:val="24"/>
        </w:rPr>
      </w:pPr>
      <w:r>
        <w:rPr>
          <w:rFonts w:hint="eastAsia" w:ascii="黑体" w:hAnsi="黑体" w:eastAsia="黑体" w:cs="黑体"/>
          <w:b w:val="0"/>
          <w:bCs w:val="0"/>
          <w:sz w:val="24"/>
          <w:szCs w:val="24"/>
        </w:rPr>
        <w:t>十三、税费发生与履行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本协议有关的一切税费均由乙方负担。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黑体" w:hAnsi="黑体" w:eastAsia="黑体" w:cs="黑体"/>
          <w:b w:val="0"/>
          <w:bCs w:val="0"/>
          <w:sz w:val="24"/>
          <w:szCs w:val="24"/>
        </w:rPr>
      </w:pPr>
      <w:r>
        <w:rPr>
          <w:rFonts w:hint="eastAsia" w:ascii="黑体" w:hAnsi="黑体" w:eastAsia="黑体" w:cs="黑体"/>
          <w:b w:val="0"/>
          <w:bCs w:val="0"/>
          <w:sz w:val="24"/>
          <w:szCs w:val="24"/>
        </w:rPr>
        <w:t>十四、其他</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1.本协议所有附件及相关文件均为本协议的有效组成部分，与本协议具有同等法律效力。若协议附件与本协议存在不一致的，则以本协议为准。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2.在履行本协议过程中，乙方应无条件接受甲方关于辅助器具租赁补贴政策调整，应自接到甲方通知后立即执行。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3.本协议为清洁打印文本，所有条款和数字均事先打印完成，本协议中禁止出现任何手写或空白未填写的情况。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本协议在履行过程中发生纠纷的，甲方为解决纠纷而发生的一切费用(包括但不限于诉讼费、仲裁费、财产保全费、担保费、鉴定费、差旅费、执行费、评估费、拍卖费、公证费、送达费、公告费、律师费等)均由乙方承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本协议地址为送达地址，该送达地址适用于各个诉讼阶段和仲裁程序，包括但不限于一审、二审、再审、执行或仲裁等；如果甲、乙双方确认的送达地址有变更，应当及时告知另一方；如一方提供的地址不确切，或不及时告知变更后的地址，仍以本协议载明地址为约定送达地址，若使诉讼文书无法送达或未及时送达，该方将自行承担由此可能产生的法律后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黑体" w:hAnsi="黑体" w:eastAsia="黑体" w:cs="黑体"/>
          <w:b w:val="0"/>
          <w:bCs w:val="0"/>
          <w:sz w:val="24"/>
          <w:szCs w:val="24"/>
        </w:rPr>
      </w:pPr>
      <w:r>
        <w:rPr>
          <w:rFonts w:hint="eastAsia" w:ascii="黑体" w:hAnsi="黑体" w:eastAsia="黑体" w:cs="黑体"/>
          <w:b w:val="0"/>
          <w:bCs w:val="0"/>
          <w:sz w:val="24"/>
          <w:szCs w:val="24"/>
        </w:rPr>
        <w:t>十五、协议生效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1.本协议订立地点：长春市民政局。</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2.本协议在甲、乙双方法定代表人、负责人或其授权代理人签字并加盖单位公章之日起生效。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3.本协议一式二份，具有同等法律效力，甲乙双方各执一份。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黑体" w:hAnsi="黑体" w:eastAsia="黑体" w:cs="黑体"/>
          <w:b w:val="0"/>
          <w:bCs w:val="0"/>
          <w:sz w:val="24"/>
          <w:szCs w:val="24"/>
        </w:rPr>
      </w:pPr>
      <w:r>
        <w:rPr>
          <w:rFonts w:hint="eastAsia" w:ascii="黑体" w:hAnsi="黑体" w:eastAsia="黑体" w:cs="黑体"/>
          <w:b w:val="0"/>
          <w:bCs w:val="0"/>
          <w:sz w:val="24"/>
          <w:szCs w:val="24"/>
        </w:rPr>
        <w:t>十六、附件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《长春市康复辅助器具租赁服务实施细则(试行)》</w:t>
      </w:r>
    </w:p>
    <w:p>
      <w:pPr>
        <w:keepNext w:val="0"/>
        <w:keepLines w:val="0"/>
        <w:pageBreakBefore w:val="0"/>
        <w:widowControl w:val="0"/>
        <w:kinsoku/>
        <w:wordWrap/>
        <w:overflowPunct/>
        <w:topLinePunct w:val="0"/>
        <w:autoSpaceDE/>
        <w:autoSpaceDN/>
        <w:bidi w:val="0"/>
        <w:adjustRightInd/>
        <w:snapToGrid/>
        <w:spacing w:before="313" w:beforeLines="100" w:after="313" w:afterLines="100" w:line="360" w:lineRule="auto"/>
        <w:ind w:firstLine="0" w:firstLineChars="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(以下无正文，为签署页)</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rPr>
      </w:pPr>
      <w:r>
        <w:rPr>
          <w:rFonts w:hint="eastAsia" w:ascii="仿宋" w:hAnsi="仿宋" w:eastAsia="仿宋" w:cs="仿宋"/>
          <w:b/>
          <w:bCs/>
          <w:sz w:val="24"/>
          <w:szCs w:val="24"/>
        </w:rPr>
        <w:br w:type="page"/>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sz w:val="24"/>
          <w:szCs w:val="24"/>
          <w:lang w:val="en-US" w:eastAsia="zh-CN"/>
        </w:rPr>
      </w:pPr>
      <w:r>
        <w:rPr>
          <w:rFonts w:hint="eastAsia"/>
          <w:sz w:val="24"/>
          <w:szCs w:val="24"/>
          <w:lang w:val="en-US" w:eastAsia="zh-CN"/>
        </w:rPr>
        <w:t>甲方（盖章）：                      乙方（盖章）：</w:t>
      </w:r>
    </w:p>
    <w:p>
      <w:pPr>
        <w:keepNext w:val="0"/>
        <w:keepLines w:val="0"/>
        <w:pageBreakBefore w:val="0"/>
        <w:widowControl w:val="0"/>
        <w:kinsoku/>
        <w:wordWrap/>
        <w:overflowPunct/>
        <w:topLinePunct w:val="0"/>
        <w:autoSpaceDE/>
        <w:autoSpaceDN/>
        <w:bidi w:val="0"/>
        <w:adjustRightInd/>
        <w:snapToGrid/>
        <w:spacing w:line="360" w:lineRule="auto"/>
        <w:ind w:left="4396" w:hanging="3768" w:hangingChars="1570"/>
        <w:textAlignment w:val="auto"/>
        <w:rPr>
          <w:rFonts w:hint="eastAsia" w:ascii="仿宋" w:hAnsi="仿宋" w:eastAsia="仿宋" w:cs="仿宋"/>
          <w:sz w:val="24"/>
          <w:szCs w:val="24"/>
        </w:rPr>
      </w:pPr>
      <w:r>
        <w:rPr>
          <w:rFonts w:hint="eastAsia"/>
          <w:sz w:val="24"/>
          <w:szCs w:val="24"/>
          <w:lang w:val="en-US" w:eastAsia="zh-CN"/>
        </w:rPr>
        <w:t>单位名称：长春市民政局             单位名称：</w:t>
      </w:r>
      <w:r>
        <w:rPr>
          <w:rFonts w:hint="eastAsia" w:ascii="仿宋" w:hAnsi="仿宋" w:eastAsia="仿宋" w:cs="仿宋"/>
          <w:sz w:val="24"/>
          <w:szCs w:val="24"/>
        </w:rPr>
        <w:t>吉林省卓雅老年服务</w:t>
      </w:r>
    </w:p>
    <w:p>
      <w:pPr>
        <w:keepNext w:val="0"/>
        <w:keepLines w:val="0"/>
        <w:pageBreakBefore w:val="0"/>
        <w:widowControl w:val="0"/>
        <w:kinsoku/>
        <w:wordWrap/>
        <w:overflowPunct/>
        <w:topLinePunct w:val="0"/>
        <w:autoSpaceDE/>
        <w:autoSpaceDN/>
        <w:bidi w:val="0"/>
        <w:adjustRightInd/>
        <w:snapToGrid/>
        <w:spacing w:line="360" w:lineRule="auto"/>
        <w:ind w:firstLine="4200" w:firstLineChars="1750"/>
        <w:textAlignment w:val="auto"/>
        <w:rPr>
          <w:rFonts w:hint="default"/>
          <w:sz w:val="24"/>
          <w:szCs w:val="24"/>
          <w:lang w:val="en-US" w:eastAsia="zh-CN"/>
        </w:rPr>
      </w:pPr>
      <w:r>
        <w:rPr>
          <w:rFonts w:hint="eastAsia" w:ascii="仿宋" w:hAnsi="仿宋" w:eastAsia="仿宋" w:cs="仿宋"/>
          <w:sz w:val="24"/>
          <w:szCs w:val="24"/>
        </w:rPr>
        <w:t>有限公司</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sz w:val="24"/>
          <w:szCs w:val="24"/>
          <w:lang w:val="en-US" w:eastAsia="zh-CN"/>
        </w:rPr>
      </w:pPr>
      <w:r>
        <w:rPr>
          <w:rFonts w:hint="eastAsia"/>
          <w:sz w:val="24"/>
          <w:szCs w:val="24"/>
          <w:lang w:val="en-US" w:eastAsia="zh-CN"/>
        </w:rPr>
        <w:t>法定代表人或委托代理人             法定代表人或委托代理人</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sz w:val="24"/>
          <w:szCs w:val="24"/>
          <w:lang w:val="en-US" w:eastAsia="zh-CN"/>
        </w:rPr>
      </w:pPr>
      <w:r>
        <w:rPr>
          <w:rFonts w:hint="eastAsia"/>
          <w:sz w:val="24"/>
          <w:szCs w:val="24"/>
          <w:lang w:val="en-US" w:eastAsia="zh-CN"/>
        </w:rPr>
        <w:t>（签字）：                         （签字）：</w:t>
      </w:r>
    </w:p>
    <w:p>
      <w:pPr>
        <w:keepNext w:val="0"/>
        <w:keepLines w:val="0"/>
        <w:pageBreakBefore w:val="0"/>
        <w:widowControl w:val="0"/>
        <w:kinsoku/>
        <w:wordWrap/>
        <w:overflowPunct/>
        <w:topLinePunct w:val="0"/>
        <w:autoSpaceDE/>
        <w:autoSpaceDN/>
        <w:bidi w:val="0"/>
        <w:adjustRightInd/>
        <w:snapToGrid/>
        <w:spacing w:line="360" w:lineRule="auto"/>
        <w:ind w:left="0" w:firstLine="0" w:firstLineChars="0"/>
        <w:textAlignment w:val="auto"/>
        <w:rPr>
          <w:rFonts w:hint="eastAsia"/>
          <w:sz w:val="24"/>
          <w:szCs w:val="24"/>
          <w:lang w:val="en-US" w:eastAsia="zh-CN"/>
        </w:rPr>
      </w:pPr>
      <w:r>
        <w:rPr>
          <w:rFonts w:hint="eastAsia"/>
          <w:sz w:val="24"/>
          <w:szCs w:val="24"/>
          <w:lang w:val="en-US" w:eastAsia="zh-CN"/>
        </w:rPr>
        <w:t>地址：</w:t>
      </w:r>
      <w:r>
        <w:rPr>
          <w:rFonts w:hint="eastAsia" w:ascii="仿宋" w:hAnsi="仿宋" w:eastAsia="仿宋" w:cs="仿宋"/>
          <w:sz w:val="24"/>
          <w:szCs w:val="24"/>
        </w:rPr>
        <w:t>长春市绿园区</w:t>
      </w:r>
      <w:r>
        <w:rPr>
          <w:rFonts w:hint="eastAsia" w:ascii="仿宋" w:hAnsi="仿宋" w:cs="仿宋"/>
          <w:sz w:val="24"/>
          <w:szCs w:val="24"/>
          <w:lang w:val="en-US" w:eastAsia="zh-CN"/>
        </w:rPr>
        <w:t xml:space="preserve">              </w:t>
      </w:r>
      <w:r>
        <w:rPr>
          <w:rFonts w:hint="eastAsia"/>
          <w:sz w:val="24"/>
          <w:szCs w:val="24"/>
          <w:lang w:val="en-US" w:eastAsia="zh-CN"/>
        </w:rPr>
        <w:t>地址：</w:t>
      </w:r>
      <w:r>
        <w:rPr>
          <w:rFonts w:hint="eastAsia"/>
          <w:sz w:val="24"/>
          <w:szCs w:val="24"/>
          <w:lang w:eastAsia="zh-CN"/>
        </w:rPr>
        <w:t>吉林省长春市经济技术开发</w:t>
      </w:r>
      <w:r>
        <w:rPr>
          <w:rFonts w:hint="eastAsia" w:ascii="仿宋" w:hAnsi="仿宋" w:cs="仿宋"/>
          <w:sz w:val="24"/>
          <w:szCs w:val="24"/>
          <w:lang w:val="en-US" w:eastAsia="zh-CN"/>
        </w:rPr>
        <w:t xml:space="preserve">区       </w:t>
      </w:r>
      <w:r>
        <w:rPr>
          <w:rFonts w:hint="eastAsia" w:ascii="仿宋" w:hAnsi="仿宋" w:eastAsia="仿宋" w:cs="仿宋"/>
          <w:sz w:val="24"/>
          <w:szCs w:val="24"/>
        </w:rPr>
        <w:t>皓月大路</w:t>
      </w:r>
      <w:r>
        <w:rPr>
          <w:rFonts w:hint="eastAsia" w:ascii="仿宋" w:hAnsi="仿宋" w:cs="仿宋"/>
          <w:sz w:val="24"/>
          <w:szCs w:val="24"/>
          <w:lang w:val="en-US" w:eastAsia="zh-CN"/>
        </w:rPr>
        <w:t xml:space="preserve">1155号                    </w:t>
      </w:r>
      <w:r>
        <w:rPr>
          <w:rFonts w:hint="eastAsia"/>
          <w:sz w:val="24"/>
          <w:szCs w:val="24"/>
          <w:lang w:eastAsia="zh-CN"/>
        </w:rPr>
        <w:t>经济开发区福州街以东，东南湖大路以</w:t>
      </w:r>
    </w:p>
    <w:p>
      <w:pPr>
        <w:keepNext w:val="0"/>
        <w:keepLines w:val="0"/>
        <w:pageBreakBefore w:val="0"/>
        <w:widowControl w:val="0"/>
        <w:kinsoku/>
        <w:wordWrap/>
        <w:overflowPunct/>
        <w:topLinePunct w:val="0"/>
        <w:autoSpaceDE/>
        <w:autoSpaceDN/>
        <w:bidi w:val="0"/>
        <w:adjustRightInd/>
        <w:snapToGrid/>
        <w:spacing w:line="360" w:lineRule="auto"/>
        <w:ind w:left="4046" w:leftChars="1445" w:firstLine="120" w:firstLineChars="50"/>
        <w:textAlignment w:val="auto"/>
        <w:rPr>
          <w:rFonts w:hint="eastAsia" w:ascii="仿宋" w:hAnsi="仿宋" w:eastAsia="仿宋" w:cs="仿宋"/>
          <w:sz w:val="24"/>
          <w:szCs w:val="24"/>
          <w:lang w:eastAsia="zh-CN"/>
        </w:rPr>
      </w:pPr>
      <w:r>
        <w:rPr>
          <w:rFonts w:hint="eastAsia"/>
          <w:sz w:val="24"/>
          <w:szCs w:val="24"/>
          <w:lang w:eastAsia="zh-CN"/>
        </w:rPr>
        <w:t>北总部基地·金融中心</w:t>
      </w:r>
      <w:r>
        <w:rPr>
          <w:rFonts w:hint="eastAsia" w:ascii="仿宋" w:hAnsi="仿宋" w:eastAsia="仿宋" w:cs="仿宋"/>
          <w:sz w:val="24"/>
          <w:szCs w:val="24"/>
          <w:lang w:eastAsia="zh-CN"/>
        </w:rPr>
        <w:t>ZTB#-1幢0单元</w:t>
      </w:r>
    </w:p>
    <w:p>
      <w:pPr>
        <w:keepNext w:val="0"/>
        <w:keepLines w:val="0"/>
        <w:pageBreakBefore w:val="0"/>
        <w:widowControl w:val="0"/>
        <w:kinsoku/>
        <w:wordWrap/>
        <w:overflowPunct/>
        <w:topLinePunct w:val="0"/>
        <w:autoSpaceDE/>
        <w:autoSpaceDN/>
        <w:bidi w:val="0"/>
        <w:adjustRightInd/>
        <w:snapToGrid/>
        <w:spacing w:line="360" w:lineRule="auto"/>
        <w:ind w:left="4046" w:leftChars="1445" w:firstLine="120" w:firstLineChars="50"/>
        <w:textAlignment w:val="auto"/>
        <w:rPr>
          <w:rFonts w:hint="eastAsia" w:ascii="仿宋" w:hAnsi="仿宋" w:eastAsia="仿宋" w:cs="仿宋"/>
          <w:sz w:val="24"/>
          <w:szCs w:val="24"/>
        </w:rPr>
      </w:pPr>
      <w:r>
        <w:rPr>
          <w:rFonts w:hint="eastAsia" w:ascii="仿宋" w:hAnsi="仿宋" w:eastAsia="仿宋" w:cs="仿宋"/>
          <w:sz w:val="24"/>
          <w:szCs w:val="24"/>
          <w:lang w:eastAsia="zh-CN"/>
        </w:rPr>
        <w:t>101号</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sz w:val="24"/>
          <w:szCs w:val="24"/>
          <w:lang w:val="en-US" w:eastAsia="zh-CN"/>
        </w:rPr>
      </w:pPr>
      <w:r>
        <w:rPr>
          <w:rFonts w:hint="eastAsia"/>
          <w:sz w:val="24"/>
          <w:szCs w:val="24"/>
          <w:lang w:val="en-US" w:eastAsia="zh-CN"/>
        </w:rPr>
        <w:t>电话：                             电话：</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sz w:val="24"/>
          <w:szCs w:val="24"/>
          <w:lang w:val="en-US" w:eastAsia="zh-CN"/>
        </w:rPr>
      </w:pPr>
      <w:r>
        <w:rPr>
          <w:rFonts w:hint="eastAsia"/>
          <w:sz w:val="24"/>
          <w:szCs w:val="24"/>
          <w:lang w:val="en-US" w:eastAsia="zh-CN"/>
        </w:rPr>
        <w:t>签订日期：                         签订日期：</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sz w:val="24"/>
          <w:szCs w:val="24"/>
          <w:lang w:val="en-US" w:eastAsia="zh-CN"/>
        </w:rPr>
      </w:pPr>
    </w:p>
    <w:sectPr>
      <w:footerReference r:id="rId6" w:type="default"/>
      <w:pgSz w:w="11906" w:h="16838"/>
      <w:pgMar w:top="1587" w:right="1814" w:bottom="1587" w:left="1814" w:header="851" w:footer="992" w:gutter="0"/>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Nimbus Roman No9 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ind w:left="5059"/>
      <w:rPr>
        <w:rFonts w:ascii="Times New Roman" w:hAnsi="Times New Roman" w:eastAsia="Times New Roman" w:cs="Times New Roman"/>
        <w:sz w:val="19"/>
        <w:szCs w:val="19"/>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ind w:left="5059"/>
      <w:rPr>
        <w:rFonts w:ascii="Times New Roman" w:hAnsi="Times New Roman" w:eastAsia="Times New Roman" w:cs="Times New Roman"/>
        <w:sz w:val="19"/>
        <w:szCs w:val="19"/>
      </w:rPr>
    </w:pPr>
    <w:r>
      <w:rPr>
        <w:sz w:val="19"/>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8FiLy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A8FiLyGwIAACkEAAAOAAAAAAAAAAEAIAAAADUBAABkcnMvZTJvRG9jLnhtbFBLBQYA&#10;AAAABgAGAFkBAADCBQ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560"/>
      </w:pPr>
      <w:r>
        <w:separator/>
      </w:r>
    </w:p>
  </w:footnote>
  <w:footnote w:type="continuationSeparator" w:id="1">
    <w:p>
      <w:pPr>
        <w:spacing w:line="240" w:lineRule="auto"/>
        <w:ind w:firstLine="56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184789"/>
    <w:multiLevelType w:val="multilevel"/>
    <w:tmpl w:val="1C184789"/>
    <w:lvl w:ilvl="0" w:tentative="0">
      <w:start w:val="1"/>
      <w:numFmt w:val="none"/>
      <w:pStyle w:val="2"/>
      <w:lvlText w:val=""/>
      <w:lvlJc w:val="left"/>
      <w:pPr>
        <w:tabs>
          <w:tab w:val="left" w:pos="432"/>
        </w:tabs>
        <w:ind w:left="432" w:hanging="432"/>
      </w:pPr>
      <w:rPr>
        <w:rFonts w:hint="eastAsia" w:cs="Times New Roman"/>
      </w:rPr>
    </w:lvl>
    <w:lvl w:ilvl="1" w:tentative="0">
      <w:start w:val="1"/>
      <w:numFmt w:val="none"/>
      <w:lvlText w:val=" "/>
      <w:lvlJc w:val="left"/>
      <w:pPr>
        <w:tabs>
          <w:tab w:val="left" w:pos="576"/>
        </w:tabs>
        <w:ind w:left="576" w:hanging="576"/>
      </w:pPr>
      <w:rPr>
        <w:rFonts w:hint="eastAsia" w:cs="Times New Roman"/>
      </w:rPr>
    </w:lvl>
    <w:lvl w:ilvl="2" w:tentative="0">
      <w:start w:val="1"/>
      <w:numFmt w:val="none"/>
      <w:pStyle w:val="4"/>
      <w:lvlText w:val=""/>
      <w:lvlJc w:val="left"/>
      <w:pPr>
        <w:tabs>
          <w:tab w:val="left" w:pos="720"/>
        </w:tabs>
        <w:ind w:left="720" w:hanging="720"/>
      </w:pPr>
      <w:rPr>
        <w:rFonts w:hint="eastAsia" w:cs="Times New Roman"/>
      </w:rPr>
    </w:lvl>
    <w:lvl w:ilvl="3" w:tentative="0">
      <w:start w:val="1"/>
      <w:numFmt w:val="none"/>
      <w:lvlText w:val="    "/>
      <w:lvlJc w:val="left"/>
      <w:pPr>
        <w:tabs>
          <w:tab w:val="left" w:pos="864"/>
        </w:tabs>
        <w:ind w:left="864" w:hanging="864"/>
      </w:pPr>
      <w:rPr>
        <w:rFonts w:hint="eastAsia" w:cs="Times New Roman"/>
      </w:rPr>
    </w:lvl>
    <w:lvl w:ilvl="4" w:tentative="0">
      <w:start w:val="1"/>
      <w:numFmt w:val="none"/>
      <w:lvlText w:val="      "/>
      <w:lvlJc w:val="left"/>
      <w:pPr>
        <w:tabs>
          <w:tab w:val="left" w:pos="1008"/>
        </w:tabs>
        <w:ind w:left="1008" w:hanging="1008"/>
      </w:pPr>
      <w:rPr>
        <w:rFonts w:hint="eastAsia" w:cs="Times New Roman"/>
      </w:rPr>
    </w:lvl>
    <w:lvl w:ilvl="5" w:tentative="0">
      <w:start w:val="1"/>
      <w:numFmt w:val="none"/>
      <w:pStyle w:val="6"/>
      <w:lvlText w:val="           "/>
      <w:lvlJc w:val="left"/>
      <w:pPr>
        <w:tabs>
          <w:tab w:val="left" w:pos="1440"/>
        </w:tabs>
        <w:ind w:left="1152" w:hanging="1152"/>
      </w:pPr>
      <w:rPr>
        <w:rFonts w:hint="eastAsia" w:cs="Times New Roman"/>
      </w:rPr>
    </w:lvl>
    <w:lvl w:ilvl="6" w:tentative="0">
      <w:start w:val="1"/>
      <w:numFmt w:val="decimal"/>
      <w:pStyle w:val="7"/>
      <w:lvlText w:val="%1.%2.%3.%4.%5.%6.%7"/>
      <w:lvlJc w:val="left"/>
      <w:pPr>
        <w:tabs>
          <w:tab w:val="left" w:pos="2520"/>
        </w:tabs>
        <w:ind w:left="1296" w:hanging="1296"/>
      </w:pPr>
      <w:rPr>
        <w:rFonts w:hint="eastAsia" w:cs="Times New Roman"/>
      </w:rPr>
    </w:lvl>
    <w:lvl w:ilvl="7" w:tentative="0">
      <w:start w:val="1"/>
      <w:numFmt w:val="decimal"/>
      <w:pStyle w:val="8"/>
      <w:lvlText w:val="%1.%2.%3.%4.%5.%6.%7.%8"/>
      <w:lvlJc w:val="left"/>
      <w:pPr>
        <w:tabs>
          <w:tab w:val="left" w:pos="1440"/>
        </w:tabs>
        <w:ind w:left="1440" w:hanging="1440"/>
      </w:pPr>
      <w:rPr>
        <w:rFonts w:hint="eastAsia" w:cs="Times New Roman"/>
      </w:rPr>
    </w:lvl>
    <w:lvl w:ilvl="8" w:tentative="0">
      <w:start w:val="1"/>
      <w:numFmt w:val="decimal"/>
      <w:pStyle w:val="9"/>
      <w:lvlText w:val="%1.%2.%3.%4.%5.%6.%7.%8.%9"/>
      <w:lvlJc w:val="left"/>
      <w:pPr>
        <w:tabs>
          <w:tab w:val="left" w:pos="1584"/>
        </w:tabs>
        <w:ind w:left="1584" w:hanging="1584"/>
      </w:pPr>
      <w:rPr>
        <w:rFonts w:hint="eastAsia"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036611"/>
    <w:rsid w:val="028A2E61"/>
    <w:rsid w:val="06BA00D6"/>
    <w:rsid w:val="08556484"/>
    <w:rsid w:val="09DB5B25"/>
    <w:rsid w:val="0A9F5550"/>
    <w:rsid w:val="0F7A1982"/>
    <w:rsid w:val="0FFE19AD"/>
    <w:rsid w:val="113C3269"/>
    <w:rsid w:val="1F001B50"/>
    <w:rsid w:val="1FEC0E41"/>
    <w:rsid w:val="32EE02C8"/>
    <w:rsid w:val="37CB929A"/>
    <w:rsid w:val="3A7F51B0"/>
    <w:rsid w:val="3D6FFEE3"/>
    <w:rsid w:val="3E6E0D8F"/>
    <w:rsid w:val="3FF7C6C4"/>
    <w:rsid w:val="3FFF05C1"/>
    <w:rsid w:val="40D02F6B"/>
    <w:rsid w:val="4D310387"/>
    <w:rsid w:val="4E7F0865"/>
    <w:rsid w:val="5480168A"/>
    <w:rsid w:val="56BD8D5E"/>
    <w:rsid w:val="58640C25"/>
    <w:rsid w:val="5BEBBFE5"/>
    <w:rsid w:val="5F590176"/>
    <w:rsid w:val="5F9B0DEB"/>
    <w:rsid w:val="5F9F4ECA"/>
    <w:rsid w:val="5FEF55E7"/>
    <w:rsid w:val="613D458E"/>
    <w:rsid w:val="66DA451A"/>
    <w:rsid w:val="6B036611"/>
    <w:rsid w:val="6B44767D"/>
    <w:rsid w:val="6B9FFA8F"/>
    <w:rsid w:val="6EBE7B51"/>
    <w:rsid w:val="6EC14215"/>
    <w:rsid w:val="6F776B46"/>
    <w:rsid w:val="6F95778F"/>
    <w:rsid w:val="76F73CB4"/>
    <w:rsid w:val="77BFD659"/>
    <w:rsid w:val="77EDE9D8"/>
    <w:rsid w:val="7B94598A"/>
    <w:rsid w:val="7BFFC217"/>
    <w:rsid w:val="7DAD4D00"/>
    <w:rsid w:val="7E7FE85D"/>
    <w:rsid w:val="7FAB72D8"/>
    <w:rsid w:val="7FECD604"/>
    <w:rsid w:val="7FFE9614"/>
    <w:rsid w:val="A8D14AE9"/>
    <w:rsid w:val="BABDFB25"/>
    <w:rsid w:val="BDBFA53D"/>
    <w:rsid w:val="D3FEE0D3"/>
    <w:rsid w:val="DBF9448C"/>
    <w:rsid w:val="DCD25404"/>
    <w:rsid w:val="DEF37994"/>
    <w:rsid w:val="DFFFF332"/>
    <w:rsid w:val="EED3BC93"/>
    <w:rsid w:val="EF7F0DE9"/>
    <w:rsid w:val="EFB78C50"/>
    <w:rsid w:val="EFFBAB6D"/>
    <w:rsid w:val="F3FBBDAB"/>
    <w:rsid w:val="F7D737D3"/>
    <w:rsid w:val="F7F3715C"/>
    <w:rsid w:val="FB75FCEE"/>
    <w:rsid w:val="FE7775B4"/>
    <w:rsid w:val="FE7E190F"/>
    <w:rsid w:val="FFD4A4DE"/>
    <w:rsid w:val="FFD960DA"/>
    <w:rsid w:val="FFEFB856"/>
    <w:rsid w:val="FFFAD8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560" w:firstLineChars="200"/>
      <w:jc w:val="both"/>
    </w:pPr>
    <w:rPr>
      <w:rFonts w:ascii="Calibri" w:hAnsi="Calibri" w:eastAsia="仿宋" w:cs="Times New Roman"/>
      <w:kern w:val="2"/>
      <w:sz w:val="28"/>
      <w:szCs w:val="22"/>
      <w:lang w:val="en-US" w:eastAsia="zh-CN" w:bidi="ar-SA"/>
    </w:rPr>
  </w:style>
  <w:style w:type="paragraph" w:styleId="2">
    <w:name w:val="heading 1"/>
    <w:basedOn w:val="1"/>
    <w:next w:val="1"/>
    <w:link w:val="18"/>
    <w:qFormat/>
    <w:uiPriority w:val="0"/>
    <w:pPr>
      <w:keepNext/>
      <w:widowControl/>
      <w:numPr>
        <w:ilvl w:val="0"/>
        <w:numId w:val="1"/>
      </w:numPr>
      <w:adjustRightInd/>
      <w:snapToGrid/>
      <w:spacing w:before="50" w:beforeLines="50" w:after="50" w:afterLines="50" w:line="360" w:lineRule="auto"/>
      <w:ind w:left="432" w:hanging="432" w:firstLineChars="0"/>
      <w:jc w:val="center"/>
      <w:outlineLvl w:val="0"/>
    </w:pPr>
    <w:rPr>
      <w:rFonts w:ascii="黑体" w:hAnsi="黑体" w:eastAsia="黑体"/>
      <w:kern w:val="0"/>
      <w:sz w:val="44"/>
      <w:szCs w:val="20"/>
    </w:rPr>
  </w:style>
  <w:style w:type="paragraph" w:styleId="3">
    <w:name w:val="heading 2"/>
    <w:basedOn w:val="1"/>
    <w:next w:val="1"/>
    <w:link w:val="17"/>
    <w:semiHidden/>
    <w:unhideWhenUsed/>
    <w:qFormat/>
    <w:uiPriority w:val="0"/>
    <w:pPr>
      <w:spacing w:before="50" w:beforeLines="50" w:beforeAutospacing="0" w:after="50" w:afterLines="50" w:afterAutospacing="0" w:line="360" w:lineRule="auto"/>
      <w:ind w:left="0" w:leftChars="0" w:firstLine="0"/>
      <w:outlineLvl w:val="1"/>
    </w:pPr>
    <w:rPr>
      <w:rFonts w:ascii="楷体" w:hAnsi="楷体" w:eastAsia="黑体" w:cs="楷体"/>
      <w:bCs/>
      <w:sz w:val="36"/>
      <w:szCs w:val="32"/>
    </w:rPr>
  </w:style>
  <w:style w:type="paragraph" w:styleId="4">
    <w:name w:val="heading 3"/>
    <w:basedOn w:val="1"/>
    <w:next w:val="1"/>
    <w:semiHidden/>
    <w:unhideWhenUsed/>
    <w:qFormat/>
    <w:uiPriority w:val="0"/>
    <w:pPr>
      <w:keepNext/>
      <w:keepLines/>
      <w:numPr>
        <w:ilvl w:val="2"/>
        <w:numId w:val="1"/>
      </w:numPr>
      <w:spacing w:before="50" w:beforeLines="50" w:beforeAutospacing="0" w:after="50" w:afterLines="50" w:afterAutospacing="0" w:line="360" w:lineRule="auto"/>
      <w:ind w:left="0" w:firstLine="0" w:firstLineChars="0"/>
      <w:outlineLvl w:val="2"/>
    </w:pPr>
    <w:rPr>
      <w:rFonts w:eastAsia="宋体" w:cs="Times New Roman"/>
      <w:b/>
      <w:sz w:val="32"/>
    </w:rPr>
  </w:style>
  <w:style w:type="paragraph" w:styleId="5">
    <w:name w:val="heading 4"/>
    <w:basedOn w:val="1"/>
    <w:next w:val="1"/>
    <w:semiHidden/>
    <w:unhideWhenUsed/>
    <w:qFormat/>
    <w:uiPriority w:val="0"/>
    <w:pPr>
      <w:keepNext/>
      <w:keepLines/>
      <w:spacing w:beforeLines="0" w:beforeAutospacing="0" w:afterLines="0" w:afterAutospacing="0" w:line="360" w:lineRule="auto"/>
      <w:ind w:firstLine="0" w:firstLineChars="0"/>
      <w:outlineLvl w:val="3"/>
    </w:pPr>
    <w:rPr>
      <w:rFonts w:ascii="Arial" w:hAnsi="Arial" w:eastAsia="黑体"/>
      <w:b/>
    </w:rPr>
  </w:style>
  <w:style w:type="paragraph" w:styleId="6">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2" w:hanging="1152" w:firstLineChars="0"/>
      <w:outlineLvl w:val="5"/>
    </w:pPr>
    <w:rPr>
      <w:rFonts w:ascii="Arial" w:hAnsi="Arial" w:eastAsia="黑体"/>
      <w:b/>
      <w:sz w:val="24"/>
    </w:rPr>
  </w:style>
  <w:style w:type="paragraph" w:styleId="7">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firstLineChars="0"/>
      <w:outlineLvl w:val="6"/>
    </w:pPr>
    <w:rPr>
      <w:b/>
      <w:sz w:val="24"/>
    </w:rPr>
  </w:style>
  <w:style w:type="paragraph" w:styleId="8">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firstLineChars="0"/>
      <w:outlineLvl w:val="7"/>
    </w:pPr>
    <w:rPr>
      <w:rFonts w:ascii="Arial" w:hAnsi="Arial" w:eastAsia="黑体"/>
      <w:sz w:val="24"/>
    </w:rPr>
  </w:style>
  <w:style w:type="paragraph" w:styleId="9">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4" w:hanging="1584" w:firstLineChars="0"/>
      <w:outlineLvl w:val="8"/>
    </w:pPr>
    <w:rPr>
      <w:rFonts w:ascii="Arial" w:hAnsi="Arial" w:eastAsia="黑体"/>
      <w:sz w:val="21"/>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10">
    <w:name w:val="Body Text"/>
    <w:basedOn w:val="1"/>
    <w:qFormat/>
    <w:uiPriority w:val="0"/>
    <w:pPr>
      <w:spacing w:after="120" w:afterLines="0" w:afterAutospacing="0"/>
    </w:pPr>
  </w:style>
  <w:style w:type="paragraph" w:styleId="11">
    <w:name w:val="Body Text Indent"/>
    <w:basedOn w:val="1"/>
    <w:qFormat/>
    <w:uiPriority w:val="0"/>
    <w:pPr>
      <w:spacing w:after="120" w:afterLines="0" w:afterAutospacing="0"/>
      <w:ind w:left="420" w:leftChars="200"/>
    </w:p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Body Text First Indent 2"/>
    <w:basedOn w:val="11"/>
    <w:qFormat/>
    <w:uiPriority w:val="0"/>
    <w:pPr>
      <w:ind w:firstLine="420" w:firstLineChars="200"/>
    </w:pPr>
  </w:style>
  <w:style w:type="character" w:customStyle="1" w:styleId="17">
    <w:name w:val="标题 2 Char"/>
    <w:link w:val="3"/>
    <w:qFormat/>
    <w:uiPriority w:val="0"/>
    <w:rPr>
      <w:rFonts w:ascii="Arial" w:hAnsi="Arial" w:eastAsia="黑体" w:cs="Times New Roman"/>
      <w:b/>
      <w:kern w:val="0"/>
      <w:sz w:val="36"/>
    </w:rPr>
  </w:style>
  <w:style w:type="character" w:customStyle="1" w:styleId="18">
    <w:name w:val="标题 1 Char"/>
    <w:basedOn w:val="16"/>
    <w:link w:val="2"/>
    <w:qFormat/>
    <w:uiPriority w:val="99"/>
    <w:rPr>
      <w:rFonts w:ascii="黑体" w:hAnsi="黑体" w:eastAsia="黑体"/>
      <w:sz w:val="4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false"/>
        </a:gradFill>
        <a:gradFill>
          <a:gsLst>
            <a:gs pos="0">
              <a:schemeClr val="phClr">
                <a:hueOff val="-2520000"/>
              </a:schemeClr>
            </a:gs>
            <a:gs pos="100000">
              <a:schemeClr val="phClr"/>
            </a:gs>
          </a:gsLst>
          <a:lin ang="2700000" scaled="false"/>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true"/>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4611</Words>
  <Characters>4839</Characters>
  <Lines>0</Lines>
  <Paragraphs>0</Paragraphs>
  <TotalTime>22</TotalTime>
  <ScaleCrop>false</ScaleCrop>
  <LinksUpToDate>false</LinksUpToDate>
  <CharactersWithSpaces>5008</CharactersWithSpaces>
  <Application>WPS Office_11.8.2.10489_F1E327BC-269C-435d-A152-05C5408002CA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2025-07-04T19:43:00Z</dcterms:created>
  <dc:creator>携手</dc:creator>
  <cp:lastModifiedBy>greatwall</cp:lastModifiedBy>
  <cp:lastPrinted>2025-07-05T02:02:00Z</cp:lastPrinted>
  <dcterms:modified xsi:type="dcterms:W3CDTF">2026-07-24T10:48:13Z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2052-11.8.2.10489</vt:lpwstr>
  </property>
  <property fmtid="{D5CDD505-2E9C-101B-9397-08002B2CF9AE}" pid="3" name="ICV">
    <vt:lpwstr>5CEDE2BE3E9940E2B1E0F5247356F3A6_11</vt:lpwstr>
  </property>
  <property fmtid="{D5CDD505-2E9C-101B-9397-08002B2CF9AE}" pid="4" name="KSOTemplateDocerSaveRecord">
    <vt:lpwstr>eyJoZGlkIjoiYzQwZDdmMjU0MDUzNmUwZmQ1MmU1ZjE3MDE0NjRlN2MiLCJ1c2VySWQiOiIyODE5NzIzOTEifQ==</vt:lpwstr>
  </property>
</Properties>
</file>