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49" w:rsidRPr="00DD1E89" w:rsidRDefault="00E60B49" w:rsidP="00952567">
      <w:pPr>
        <w:widowControl/>
        <w:shd w:val="clear" w:color="auto" w:fill="FFFFFF"/>
        <w:spacing w:line="420" w:lineRule="atLeast"/>
        <w:jc w:val="center"/>
        <w:rPr>
          <w:rFonts w:ascii="宋体" w:cs="宋体"/>
          <w:b/>
          <w:color w:val="333333"/>
          <w:kern w:val="0"/>
          <w:sz w:val="44"/>
          <w:szCs w:val="44"/>
        </w:rPr>
      </w:pPr>
      <w:r w:rsidRPr="00DD1E89">
        <w:rPr>
          <w:rFonts w:ascii="宋体" w:hAnsi="宋体" w:cs="宋体" w:hint="eastAsia"/>
          <w:b/>
          <w:color w:val="333333"/>
          <w:kern w:val="0"/>
          <w:sz w:val="44"/>
          <w:szCs w:val="44"/>
        </w:rPr>
        <w:t>长春市民政</w:t>
      </w:r>
      <w:r>
        <w:rPr>
          <w:rFonts w:ascii="宋体" w:hAnsi="宋体" w:cs="宋体" w:hint="eastAsia"/>
          <w:b/>
          <w:color w:val="333333"/>
          <w:kern w:val="0"/>
          <w:sz w:val="44"/>
          <w:szCs w:val="44"/>
        </w:rPr>
        <w:t>局</w:t>
      </w:r>
      <w:r w:rsidRPr="00DD1E89">
        <w:rPr>
          <w:rFonts w:ascii="宋体" w:hAnsi="宋体" w:cs="宋体" w:hint="eastAsia"/>
          <w:b/>
          <w:color w:val="333333"/>
          <w:kern w:val="0"/>
          <w:sz w:val="44"/>
          <w:szCs w:val="44"/>
        </w:rPr>
        <w:t>行政处罚自由裁量基准</w:t>
      </w:r>
      <w:r>
        <w:rPr>
          <w:rFonts w:ascii="宋体" w:hAnsi="宋体" w:cs="宋体" w:hint="eastAsia"/>
          <w:b/>
          <w:color w:val="333333"/>
          <w:kern w:val="0"/>
          <w:sz w:val="44"/>
          <w:szCs w:val="44"/>
        </w:rPr>
        <w:t>办法</w:t>
      </w:r>
    </w:p>
    <w:p w:rsidR="00E60B49" w:rsidRPr="00DD1E89" w:rsidRDefault="00E60B49" w:rsidP="00DD1E89">
      <w:pPr>
        <w:widowControl/>
        <w:shd w:val="clear" w:color="auto" w:fill="FFFFFF"/>
        <w:spacing w:line="420" w:lineRule="atLeast"/>
        <w:jc w:val="left"/>
        <w:rPr>
          <w:rFonts w:ascii="微软雅黑" w:eastAsia="微软雅黑" w:hAnsi="微软雅黑" w:cs="宋体"/>
          <w:color w:val="333333"/>
          <w:kern w:val="0"/>
          <w:sz w:val="23"/>
          <w:szCs w:val="23"/>
        </w:rPr>
      </w:pPr>
      <w:r w:rsidRPr="00DD1E89">
        <w:rPr>
          <w:rFonts w:ascii="微软雅黑" w:eastAsia="微软雅黑" w:hAnsi="微软雅黑" w:cs="宋体"/>
          <w:color w:val="333333"/>
          <w:kern w:val="0"/>
          <w:sz w:val="23"/>
          <w:szCs w:val="23"/>
        </w:rPr>
        <w:t> </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第一条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为建立健全民政行政处罚裁量基准制度，进一步规范民政行政处罚裁量，保护公民、法人和其他组织的合法权益，根据《中华人民共和国行政处罚法》</w:t>
      </w:r>
      <w:r>
        <w:rPr>
          <w:rFonts w:ascii="仿宋" w:eastAsia="仿宋" w:hAnsi="仿宋" w:cs="宋体" w:hint="eastAsia"/>
          <w:color w:val="333333"/>
          <w:kern w:val="0"/>
          <w:sz w:val="32"/>
          <w:szCs w:val="32"/>
        </w:rPr>
        <w:t>等法律法规</w:t>
      </w:r>
      <w:r w:rsidRPr="00DD1E89">
        <w:rPr>
          <w:rFonts w:ascii="仿宋" w:eastAsia="仿宋" w:hAnsi="仿宋" w:cs="宋体" w:hint="eastAsia"/>
          <w:color w:val="333333"/>
          <w:kern w:val="0"/>
          <w:sz w:val="32"/>
          <w:szCs w:val="32"/>
        </w:rPr>
        <w:t>规章</w:t>
      </w:r>
      <w:r>
        <w:rPr>
          <w:rFonts w:ascii="仿宋" w:eastAsia="仿宋" w:hAnsi="仿宋" w:cs="宋体" w:hint="eastAsia"/>
          <w:color w:val="333333"/>
          <w:kern w:val="0"/>
          <w:sz w:val="32"/>
          <w:szCs w:val="32"/>
        </w:rPr>
        <w:t>规定</w:t>
      </w:r>
      <w:r w:rsidRPr="00DD1E89">
        <w:rPr>
          <w:rFonts w:ascii="仿宋" w:eastAsia="仿宋" w:hAnsi="仿宋" w:cs="宋体" w:hint="eastAsia"/>
          <w:color w:val="333333"/>
          <w:kern w:val="0"/>
          <w:sz w:val="32"/>
          <w:szCs w:val="32"/>
        </w:rPr>
        <w:t>，结合我市民政行政处罚工作实际，制定本</w:t>
      </w:r>
      <w:r>
        <w:rPr>
          <w:rFonts w:ascii="仿宋" w:eastAsia="仿宋" w:hAnsi="仿宋" w:cs="宋体" w:hint="eastAsia"/>
          <w:color w:val="333333"/>
          <w:kern w:val="0"/>
          <w:sz w:val="32"/>
          <w:szCs w:val="32"/>
        </w:rPr>
        <w:t>办法</w:t>
      </w:r>
      <w:r w:rsidRPr="00DD1E89">
        <w:rPr>
          <w:rFonts w:ascii="仿宋" w:eastAsia="仿宋" w:hAnsi="仿宋" w:cs="宋体" w:hint="eastAsia"/>
          <w:color w:val="333333"/>
          <w:kern w:val="0"/>
          <w:sz w:val="32"/>
          <w:szCs w:val="32"/>
        </w:rPr>
        <w:t>。</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第二条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本</w:t>
      </w:r>
      <w:r>
        <w:rPr>
          <w:rFonts w:ascii="仿宋" w:eastAsia="仿宋" w:hAnsi="仿宋" w:cs="宋体" w:hint="eastAsia"/>
          <w:color w:val="333333"/>
          <w:kern w:val="0"/>
          <w:sz w:val="32"/>
          <w:szCs w:val="32"/>
        </w:rPr>
        <w:t>办法</w:t>
      </w:r>
      <w:r w:rsidRPr="00DD1E89">
        <w:rPr>
          <w:rFonts w:ascii="仿宋" w:eastAsia="仿宋" w:hAnsi="仿宋" w:cs="宋体" w:hint="eastAsia"/>
          <w:color w:val="333333"/>
          <w:kern w:val="0"/>
          <w:sz w:val="32"/>
          <w:szCs w:val="32"/>
        </w:rPr>
        <w:t>所称的行政处罚裁量基准，是指市和区、县（市）民政部门依法行使民政行政处罚权时，在法律、法规、规章规定的裁量范围内，对公民、法人和其他组织违反行政管理秩序的行为，视违法情节、手段、后果等因素，据以确定是否处罚，以及做出何种类别、幅度的处罚及其具体适用情形的细化、量化标准。</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第三条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行使行政处罚裁量基准应当遵循公正公平公开原则</w:t>
      </w:r>
      <w:r>
        <w:rPr>
          <w:rFonts w:ascii="仿宋" w:eastAsia="仿宋" w:hAnsi="仿宋" w:cs="宋体" w:hint="eastAsia"/>
          <w:color w:val="333333"/>
          <w:kern w:val="0"/>
          <w:sz w:val="32"/>
          <w:szCs w:val="32"/>
        </w:rPr>
        <w:t>、</w:t>
      </w:r>
      <w:r w:rsidRPr="00DD1E89">
        <w:rPr>
          <w:rFonts w:ascii="仿宋" w:eastAsia="仿宋" w:hAnsi="仿宋" w:cs="宋体" w:hint="eastAsia"/>
          <w:color w:val="333333"/>
          <w:kern w:val="0"/>
          <w:sz w:val="32"/>
          <w:szCs w:val="32"/>
        </w:rPr>
        <w:t>过罚相当原则</w:t>
      </w:r>
      <w:r>
        <w:rPr>
          <w:rFonts w:ascii="仿宋" w:eastAsia="仿宋" w:hAnsi="仿宋" w:cs="宋体" w:hint="eastAsia"/>
          <w:color w:val="333333"/>
          <w:kern w:val="0"/>
          <w:sz w:val="32"/>
          <w:szCs w:val="32"/>
        </w:rPr>
        <w:t>、</w:t>
      </w:r>
      <w:r w:rsidRPr="00DD1E89">
        <w:rPr>
          <w:rFonts w:ascii="仿宋" w:eastAsia="仿宋" w:hAnsi="仿宋" w:cs="宋体" w:hint="eastAsia"/>
          <w:color w:val="333333"/>
          <w:kern w:val="0"/>
          <w:sz w:val="32"/>
          <w:szCs w:val="32"/>
        </w:rPr>
        <w:t>处罚与教育相结合原则，依法维护公民、法人和其他组织的合法权益，确保行政处罚裁量基准行使的合法性、合理性。</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第四条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在实施行政处罚时，对违法主体、性质、情节相同或相似的案件，适用的法律依据、处罚种类及处罚幅度应当基本相当。</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对当事人的同一个违法行为，不得给予两次以上罚款的行政处罚。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第五条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法律、法规、规章规定的处罚种类可以单处或可以并处的，可以选择适用</w:t>
      </w:r>
      <w:r w:rsidRPr="00DD1E89">
        <w:rPr>
          <w:rFonts w:ascii="仿宋" w:eastAsia="仿宋" w:hAnsi="仿宋" w:cs="宋体"/>
          <w:color w:val="333333"/>
          <w:kern w:val="0"/>
          <w:sz w:val="32"/>
          <w:szCs w:val="32"/>
        </w:rPr>
        <w:t>;</w:t>
      </w:r>
      <w:r w:rsidRPr="00DD1E89">
        <w:rPr>
          <w:rFonts w:ascii="仿宋" w:eastAsia="仿宋" w:hAnsi="仿宋" w:cs="宋体" w:hint="eastAsia"/>
          <w:color w:val="333333"/>
          <w:kern w:val="0"/>
          <w:sz w:val="32"/>
          <w:szCs w:val="32"/>
        </w:rPr>
        <w:t>对规定应当并处或应当先没收违法所得再作其他处罚的，不得选择适用。</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法律、法规、规章明确规定的应当责令改正的违法行为，必须要求限期改正；逾期不改正的，再依法作出其他行政处罚。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第六条</w:t>
      </w:r>
      <w:r w:rsidRPr="00DD1E89">
        <w:rPr>
          <w:rFonts w:ascii="微软雅黑" w:eastAsia="微软雅黑" w:hAnsi="微软雅黑" w:cs="宋体" w:hint="eastAsia"/>
          <w:color w:val="333333"/>
          <w:kern w:val="0"/>
          <w:sz w:val="23"/>
          <w:szCs w:val="23"/>
        </w:rPr>
        <w:t xml:space="preserve">　</w:t>
      </w:r>
      <w:r w:rsidRPr="00DD1E89">
        <w:rPr>
          <w:rFonts w:ascii="仿宋" w:eastAsia="仿宋" w:hAnsi="仿宋" w:cs="宋体" w:hint="eastAsia"/>
          <w:color w:val="333333"/>
          <w:kern w:val="0"/>
          <w:sz w:val="32"/>
          <w:szCs w:val="32"/>
        </w:rPr>
        <w:t>同一违法行为违反了不同的法律</w:t>
      </w:r>
      <w:r>
        <w:rPr>
          <w:rFonts w:ascii="仿宋" w:eastAsia="仿宋" w:hAnsi="仿宋" w:cs="宋体" w:hint="eastAsia"/>
          <w:color w:val="333333"/>
          <w:kern w:val="0"/>
          <w:sz w:val="32"/>
          <w:szCs w:val="32"/>
        </w:rPr>
        <w:t>规范</w:t>
      </w:r>
      <w:r w:rsidRPr="00DD1E89">
        <w:rPr>
          <w:rFonts w:ascii="仿宋" w:eastAsia="仿宋" w:hAnsi="仿宋" w:cs="宋体" w:hint="eastAsia"/>
          <w:color w:val="333333"/>
          <w:kern w:val="0"/>
          <w:sz w:val="32"/>
          <w:szCs w:val="32"/>
        </w:rPr>
        <w:t>，在适用法律时应当按照顺序遵循下列原则：</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（一）效力高的法律规范优先适用；</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（二）法律规范效力相同，有特别规定的优先适用；</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（三）法律规范效力相同，生效时间在后的优先适用。</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第七条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根据违法行为的事实、性质、情节</w:t>
      </w:r>
      <w:r>
        <w:rPr>
          <w:rFonts w:ascii="仿宋" w:eastAsia="仿宋" w:hAnsi="仿宋" w:cs="宋体" w:hint="eastAsia"/>
          <w:color w:val="333333"/>
          <w:kern w:val="0"/>
          <w:sz w:val="32"/>
          <w:szCs w:val="32"/>
        </w:rPr>
        <w:t>、</w:t>
      </w:r>
      <w:r w:rsidRPr="00DD1E89">
        <w:rPr>
          <w:rFonts w:ascii="仿宋" w:eastAsia="仿宋" w:hAnsi="仿宋" w:cs="宋体" w:hint="eastAsia"/>
          <w:color w:val="333333"/>
          <w:kern w:val="0"/>
          <w:sz w:val="32"/>
          <w:szCs w:val="32"/>
        </w:rPr>
        <w:t>社会危害程度和主观过错等因素，违法行为可分为轻微违法行为、一般违法行为、严重违法行为。</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按照法律、法规、规章设定的处罚幅度，行政处罚可分为不予处罚、从轻处罚、减轻处罚、一般处罚、从重处罚。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第八条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不予处罚是指违法行为轻微并及时纠正，没有造成危害后果的，不予行政处罚。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从轻处罚是指根据查清的当事人的违法事实、性质、情节，在法律、法规、规章规定的处罚种类和幅度范围内给予较轻的行政处罚。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减轻处罚是指根据查清的当事人的违法事实、性质、情节，在法律、法规、规章规定的处罚幅度以下给予行政处罚。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从重处罚是指根据查清的当事人的违法事实、性质、情节，在法律、法规、规章规定的处罚种类和幅度范围内给予较重的行政处罚。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第九条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当事人有下列情形之一的，依法不予行政处罚：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（一）违法行为轻微并及时纠正，没有造成危害后果的；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（二）证据不足，违法事实不能成立的；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（三）不满十四周岁的人实施违法行为的；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（四）精神病人在不能辨认或者不能控制自己行为时实施违法行为的；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（五）违法行为在二年内未被发现的，但法律另有规定的除外；</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（六）其他依法不予行政处罚的。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当事人有下列情形之一的，应当依法从轻或减轻行政处罚：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（一）已满十四周岁不满十八周岁，有违法行为的；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（二）主动消除或者减轻违法行为危害后果的；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（三）受他人胁迫有违法行为的；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（四）配合行政机关查处违法行为有立功表现的；</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（五）法律、法规、规章规定从轻或者减轻处罚的其他情形。</w:t>
      </w:r>
    </w:p>
    <w:p w:rsidR="00E60B49" w:rsidRPr="00DD1E89" w:rsidRDefault="00E60B49" w:rsidP="00CB29A4">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第十一条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在法律、法规和规章规定的处罚范围内，按照以下规定实施处罚：</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（一）罚款幅度的适用。行政处罚中适用罚款的，在法定幅度内将罚款数额分为较小数额的罚款、一般数额的罚款、较大数额的罚款三个层次。</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仿宋" w:eastAsia="仿宋" w:hAnsi="仿宋" w:cs="宋体" w:hint="eastAsia"/>
          <w:color w:val="333333"/>
          <w:kern w:val="0"/>
          <w:sz w:val="32"/>
          <w:szCs w:val="32"/>
        </w:rPr>
        <w:t>（二）处罚种类的适用。严重违法行为适用的处罚种类包括责令改正或限期停止活动、取缔、撤销登记、较大数额的罚款；一般违法行为适用的处罚种类包括没收违法所得、没收非法财物、一般数额罚款；轻微违法行为适用的处罚种类包括较小数额的罚款和警告，依法不予行政处罚的除外。</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二</w:t>
      </w:r>
      <w:r w:rsidRPr="00DD1E89">
        <w:rPr>
          <w:rFonts w:ascii="黑体" w:eastAsia="黑体" w:hAnsi="黑体" w:cs="宋体" w:hint="eastAsia"/>
          <w:color w:val="333333"/>
          <w:kern w:val="0"/>
          <w:sz w:val="32"/>
          <w:szCs w:val="32"/>
        </w:rPr>
        <w:t>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实施行政处罚时，应当依法告知当事人违法事实、法律依据、处罚理由及享有的陈述权、申辩权、申请听证权和请求回避权等内容，听取当事人的意见；对当事人提出的事实、理由和证据，应当进行复核；当事人提出的事实、理由或者证据成立的，应当采纳。</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三</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在案件调查终结报告、行政处罚建议、行政处罚决定书或者其他处理决定中，应当将裁量的情况进行表述；对选择的处罚阶次，应当说明理由；在行政处罚决定书中除说明裁量理由外，还应当说明证据采信理由、处罚依据选择理由。</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四</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当事人认为行政处罚实施机关违法或者不当行使行政处罚权的，可以依法申请行政复议或者提起行政诉讼。</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五</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行政执法人员徇私舞弊、滥用裁量权的，其所在部门应当给予批评教育，并提请行政执法证件核发部门收回其行政执法证件、取消其执法资格；情节严重的，依法对直接负责的主管人员和直接责任人员视情节调离执法岗位或给予行政处分；涉嫌犯罪的，依法移送司法机关处理。</w:t>
      </w:r>
    </w:p>
    <w:p w:rsidR="00E60B49" w:rsidRDefault="00E60B49" w:rsidP="00DF6AC6">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六</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本</w:t>
      </w:r>
      <w:r>
        <w:rPr>
          <w:rFonts w:ascii="仿宋" w:eastAsia="仿宋" w:hAnsi="仿宋" w:cs="宋体" w:hint="eastAsia"/>
          <w:color w:val="333333"/>
          <w:kern w:val="0"/>
          <w:sz w:val="32"/>
          <w:szCs w:val="32"/>
        </w:rPr>
        <w:t>办法</w:t>
      </w:r>
      <w:r w:rsidRPr="00DD1E89">
        <w:rPr>
          <w:rFonts w:ascii="仿宋" w:eastAsia="仿宋" w:hAnsi="仿宋" w:cs="宋体" w:hint="eastAsia"/>
          <w:color w:val="333333"/>
          <w:kern w:val="0"/>
          <w:sz w:val="32"/>
          <w:szCs w:val="32"/>
        </w:rPr>
        <w:t>所称的“以上”、“以下”包含本数。</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w:t>
      </w:r>
      <w:r>
        <w:rPr>
          <w:rFonts w:ascii="黑体" w:eastAsia="黑体" w:hAnsi="黑体" w:cs="宋体" w:hint="eastAsia"/>
          <w:color w:val="333333"/>
          <w:kern w:val="0"/>
          <w:sz w:val="32"/>
          <w:szCs w:val="32"/>
        </w:rPr>
        <w:t>十七</w:t>
      </w:r>
      <w:r w:rsidRPr="00DD1E89">
        <w:rPr>
          <w:rFonts w:ascii="黑体" w:eastAsia="黑体" w:hAnsi="黑体" w:cs="宋体" w:hint="eastAsia"/>
          <w:color w:val="333333"/>
          <w:kern w:val="0"/>
          <w:sz w:val="32"/>
          <w:szCs w:val="32"/>
        </w:rPr>
        <w:t>条</w:t>
      </w:r>
      <w:r>
        <w:rPr>
          <w:rFonts w:ascii="仿宋" w:eastAsia="仿宋" w:hAnsi="仿宋" w:cs="宋体"/>
          <w:color w:val="333333"/>
          <w:kern w:val="0"/>
          <w:sz w:val="32"/>
          <w:szCs w:val="32"/>
        </w:rPr>
        <w:t xml:space="preserve"> </w:t>
      </w:r>
      <w:r w:rsidRPr="00DD1E89">
        <w:rPr>
          <w:rFonts w:ascii="仿宋" w:eastAsia="仿宋" w:hAnsi="仿宋" w:cs="宋体" w:hint="eastAsia"/>
          <w:color w:val="333333"/>
          <w:kern w:val="0"/>
          <w:sz w:val="32"/>
          <w:szCs w:val="32"/>
        </w:rPr>
        <w:t>行政处罚裁量基准的制定机关应当根据法律、法规和规章的调整情况或者执法工作实际，及时修订行政处罚裁量基准。</w:t>
      </w:r>
    </w:p>
    <w:p w:rsidR="00E60B49" w:rsidRPr="00DD1E89" w:rsidRDefault="00E60B49" w:rsidP="00EE6018">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w:t>
      </w:r>
      <w:r>
        <w:rPr>
          <w:rFonts w:ascii="黑体" w:eastAsia="黑体" w:hAnsi="黑体" w:cs="宋体" w:hint="eastAsia"/>
          <w:color w:val="333333"/>
          <w:kern w:val="0"/>
          <w:sz w:val="32"/>
          <w:szCs w:val="32"/>
        </w:rPr>
        <w:t>十八</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本</w:t>
      </w:r>
      <w:r>
        <w:rPr>
          <w:rFonts w:ascii="仿宋" w:eastAsia="仿宋" w:hAnsi="仿宋" w:cs="宋体" w:hint="eastAsia"/>
          <w:color w:val="333333"/>
          <w:kern w:val="0"/>
          <w:sz w:val="32"/>
          <w:szCs w:val="32"/>
        </w:rPr>
        <w:t>办法</w:t>
      </w:r>
      <w:r w:rsidRPr="00DD1E89">
        <w:rPr>
          <w:rFonts w:ascii="仿宋" w:eastAsia="仿宋" w:hAnsi="仿宋" w:cs="宋体" w:hint="eastAsia"/>
          <w:color w:val="333333"/>
          <w:kern w:val="0"/>
          <w:sz w:val="32"/>
          <w:szCs w:val="32"/>
        </w:rPr>
        <w:t>和所附《裁量基准》区、县（市）民政部门</w:t>
      </w:r>
      <w:r>
        <w:rPr>
          <w:rFonts w:ascii="仿宋" w:eastAsia="仿宋" w:hAnsi="仿宋" w:cs="宋体" w:hint="eastAsia"/>
          <w:color w:val="333333"/>
          <w:kern w:val="0"/>
          <w:sz w:val="32"/>
          <w:szCs w:val="32"/>
        </w:rPr>
        <w:t>可以参照执行。</w:t>
      </w:r>
    </w:p>
    <w:p w:rsidR="00E60B49" w:rsidRPr="00DD1E89" w:rsidRDefault="00E60B49" w:rsidP="00DD1E89">
      <w:pPr>
        <w:widowControl/>
        <w:shd w:val="clear" w:color="auto" w:fill="FFFFFF"/>
        <w:spacing w:line="315" w:lineRule="atLeast"/>
        <w:ind w:firstLine="645"/>
        <w:jc w:val="left"/>
        <w:rPr>
          <w:rFonts w:ascii="仿宋" w:eastAsia="仿宋" w:hAnsi="仿宋" w:cs="宋体"/>
          <w:color w:val="333333"/>
          <w:kern w:val="0"/>
          <w:sz w:val="32"/>
          <w:szCs w:val="32"/>
        </w:rPr>
      </w:pPr>
      <w:r w:rsidRPr="00DD1E89">
        <w:rPr>
          <w:rFonts w:ascii="黑体" w:eastAsia="黑体" w:hAnsi="黑体" w:cs="宋体" w:hint="eastAsia"/>
          <w:color w:val="333333"/>
          <w:kern w:val="0"/>
          <w:sz w:val="32"/>
          <w:szCs w:val="32"/>
        </w:rPr>
        <w:t>第</w:t>
      </w:r>
      <w:r>
        <w:rPr>
          <w:rFonts w:ascii="黑体" w:eastAsia="黑体" w:hAnsi="黑体" w:cs="宋体" w:hint="eastAsia"/>
          <w:color w:val="333333"/>
          <w:kern w:val="0"/>
          <w:sz w:val="32"/>
          <w:szCs w:val="32"/>
        </w:rPr>
        <w:t>十九</w:t>
      </w:r>
      <w:r w:rsidRPr="00DD1E89">
        <w:rPr>
          <w:rFonts w:ascii="黑体" w:eastAsia="黑体" w:hAnsi="黑体" w:cs="宋体" w:hint="eastAsia"/>
          <w:color w:val="333333"/>
          <w:kern w:val="0"/>
          <w:sz w:val="32"/>
          <w:szCs w:val="32"/>
        </w:rPr>
        <w:t>条</w:t>
      </w:r>
      <w:r>
        <w:rPr>
          <w:rFonts w:ascii="黑体" w:eastAsia="黑体" w:hAnsi="黑体" w:cs="宋体"/>
          <w:color w:val="333333"/>
          <w:kern w:val="0"/>
          <w:sz w:val="32"/>
          <w:szCs w:val="32"/>
        </w:rPr>
        <w:t xml:space="preserve"> </w:t>
      </w:r>
      <w:r w:rsidRPr="00DD1E89">
        <w:rPr>
          <w:rFonts w:ascii="仿宋" w:eastAsia="仿宋" w:hAnsi="仿宋" w:cs="宋体" w:hint="eastAsia"/>
          <w:color w:val="333333"/>
          <w:kern w:val="0"/>
          <w:sz w:val="32"/>
          <w:szCs w:val="32"/>
        </w:rPr>
        <w:t>本办法由长春市民政局负责解释。</w:t>
      </w:r>
    </w:p>
    <w:p w:rsidR="00E60B49" w:rsidRDefault="00E60B49" w:rsidP="00B87465">
      <w:pPr>
        <w:widowControl/>
        <w:shd w:val="clear" w:color="auto" w:fill="FFFFFF"/>
        <w:spacing w:line="315" w:lineRule="atLeast"/>
        <w:ind w:firstLine="645"/>
        <w:jc w:val="left"/>
        <w:rPr>
          <w:rFonts w:ascii="微软雅黑" w:eastAsia="微软雅黑" w:hAnsi="微软雅黑" w:cs="宋体"/>
          <w:color w:val="333333"/>
          <w:kern w:val="0"/>
          <w:sz w:val="23"/>
          <w:szCs w:val="23"/>
        </w:rPr>
      </w:pPr>
      <w:r w:rsidRPr="00DD1E89">
        <w:rPr>
          <w:rFonts w:ascii="微软雅黑" w:eastAsia="微软雅黑" w:hAnsi="微软雅黑" w:cs="宋体"/>
          <w:color w:val="333333"/>
          <w:kern w:val="0"/>
          <w:sz w:val="20"/>
          <w:szCs w:val="20"/>
        </w:rPr>
        <w:t> </w:t>
      </w:r>
    </w:p>
    <w:p w:rsidR="00E60B49" w:rsidRDefault="00E60B49" w:rsidP="00B87465">
      <w:pPr>
        <w:widowControl/>
        <w:shd w:val="clear" w:color="auto" w:fill="FFFFFF"/>
        <w:spacing w:line="315" w:lineRule="atLeast"/>
        <w:jc w:val="left"/>
        <w:rPr>
          <w:rFonts w:ascii="微软雅黑" w:eastAsia="微软雅黑" w:hAnsi="微软雅黑" w:cs="宋体"/>
          <w:color w:val="333333"/>
          <w:kern w:val="0"/>
          <w:sz w:val="23"/>
          <w:szCs w:val="23"/>
        </w:rPr>
      </w:pPr>
    </w:p>
    <w:p w:rsidR="00E60B49" w:rsidRPr="00B87465" w:rsidRDefault="00E60B49" w:rsidP="00B87465">
      <w:pPr>
        <w:widowControl/>
        <w:shd w:val="clear" w:color="auto" w:fill="FFFFFF"/>
        <w:spacing w:line="315" w:lineRule="atLeast"/>
        <w:jc w:val="left"/>
        <w:rPr>
          <w:rFonts w:ascii="仿宋" w:eastAsia="仿宋" w:hAnsi="仿宋" w:cs="宋体"/>
          <w:color w:val="333333"/>
          <w:kern w:val="0"/>
          <w:sz w:val="32"/>
          <w:szCs w:val="32"/>
        </w:rPr>
      </w:pPr>
      <w:r>
        <w:rPr>
          <w:rFonts w:ascii="仿宋" w:eastAsia="仿宋" w:hAnsi="仿宋" w:cs="宋体"/>
          <w:color w:val="333333"/>
          <w:kern w:val="0"/>
          <w:sz w:val="32"/>
          <w:szCs w:val="32"/>
        </w:rPr>
        <w:t xml:space="preserve">    </w:t>
      </w:r>
      <w:r w:rsidRPr="00B87465">
        <w:rPr>
          <w:rFonts w:ascii="仿宋" w:eastAsia="仿宋" w:hAnsi="仿宋" w:cs="宋体" w:hint="eastAsia"/>
          <w:color w:val="333333"/>
          <w:kern w:val="0"/>
          <w:sz w:val="32"/>
          <w:szCs w:val="32"/>
        </w:rPr>
        <w:t>附件：长春市民政局行政处罚自由裁量基准</w:t>
      </w:r>
      <w:bookmarkStart w:id="0" w:name="_GoBack"/>
      <w:bookmarkEnd w:id="0"/>
    </w:p>
    <w:sectPr w:rsidR="00E60B49" w:rsidRPr="00B87465" w:rsidSect="00B8746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49" w:rsidRDefault="00E60B49" w:rsidP="00875587">
      <w:r>
        <w:separator/>
      </w:r>
    </w:p>
  </w:endnote>
  <w:endnote w:type="continuationSeparator" w:id="0">
    <w:p w:rsidR="00E60B49" w:rsidRDefault="00E60B49" w:rsidP="00875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49" w:rsidRDefault="00E60B49" w:rsidP="00875587">
      <w:r>
        <w:separator/>
      </w:r>
    </w:p>
  </w:footnote>
  <w:footnote w:type="continuationSeparator" w:id="0">
    <w:p w:rsidR="00E60B49" w:rsidRDefault="00E60B49" w:rsidP="00875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E89"/>
    <w:rsid w:val="00181E6E"/>
    <w:rsid w:val="001A312B"/>
    <w:rsid w:val="001A5A46"/>
    <w:rsid w:val="00336361"/>
    <w:rsid w:val="004339A5"/>
    <w:rsid w:val="00517500"/>
    <w:rsid w:val="00875587"/>
    <w:rsid w:val="008E4D1F"/>
    <w:rsid w:val="00952567"/>
    <w:rsid w:val="00A26FB8"/>
    <w:rsid w:val="00B41825"/>
    <w:rsid w:val="00B87465"/>
    <w:rsid w:val="00CA18EC"/>
    <w:rsid w:val="00CB29A4"/>
    <w:rsid w:val="00DD1E89"/>
    <w:rsid w:val="00DF6AC6"/>
    <w:rsid w:val="00E60B49"/>
    <w:rsid w:val="00E85385"/>
    <w:rsid w:val="00EE6018"/>
    <w:rsid w:val="00F17759"/>
    <w:rsid w:val="00FC47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1E89"/>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8755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5587"/>
    <w:rPr>
      <w:rFonts w:cs="Times New Roman"/>
      <w:sz w:val="18"/>
      <w:szCs w:val="18"/>
    </w:rPr>
  </w:style>
  <w:style w:type="paragraph" w:styleId="Footer">
    <w:name w:val="footer"/>
    <w:basedOn w:val="Normal"/>
    <w:link w:val="FooterChar"/>
    <w:uiPriority w:val="99"/>
    <w:rsid w:val="008755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558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10049742">
      <w:marLeft w:val="0"/>
      <w:marRight w:val="0"/>
      <w:marTop w:val="0"/>
      <w:marBottom w:val="0"/>
      <w:divBdr>
        <w:top w:val="none" w:sz="0" w:space="0" w:color="auto"/>
        <w:left w:val="none" w:sz="0" w:space="0" w:color="auto"/>
        <w:bottom w:val="none" w:sz="0" w:space="0" w:color="auto"/>
        <w:right w:val="none" w:sz="0" w:space="0" w:color="auto"/>
      </w:divBdr>
    </w:div>
    <w:div w:id="1810049743">
      <w:marLeft w:val="0"/>
      <w:marRight w:val="0"/>
      <w:marTop w:val="0"/>
      <w:marBottom w:val="0"/>
      <w:divBdr>
        <w:top w:val="none" w:sz="0" w:space="0" w:color="auto"/>
        <w:left w:val="none" w:sz="0" w:space="0" w:color="auto"/>
        <w:bottom w:val="none" w:sz="0" w:space="0" w:color="auto"/>
        <w:right w:val="none" w:sz="0" w:space="0" w:color="auto"/>
      </w:divBdr>
      <w:divsChild>
        <w:div w:id="181004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5</Pages>
  <Words>315</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6</cp:revision>
  <dcterms:created xsi:type="dcterms:W3CDTF">2017-10-19T08:32:00Z</dcterms:created>
  <dcterms:modified xsi:type="dcterms:W3CDTF">2020-06-11T02:30:00Z</dcterms:modified>
</cp:coreProperties>
</file>