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FC" w:rsidRDefault="00D10AFC" w:rsidP="009C2655">
      <w:pPr>
        <w:pStyle w:val="NormalWeb"/>
        <w:spacing w:before="0" w:beforeAutospacing="0" w:after="0" w:afterAutospacing="0" w:line="560" w:lineRule="exact"/>
        <w:jc w:val="center"/>
        <w:rPr>
          <w:rStyle w:val="Strong"/>
          <w:rFonts w:cs="宋体"/>
          <w:color w:val="000000"/>
          <w:sz w:val="44"/>
          <w:szCs w:val="44"/>
        </w:rPr>
      </w:pPr>
      <w:r>
        <w:rPr>
          <w:rStyle w:val="Strong"/>
          <w:rFonts w:cs="宋体" w:hint="eastAsia"/>
          <w:color w:val="000000"/>
          <w:sz w:val="44"/>
          <w:szCs w:val="44"/>
        </w:rPr>
        <w:t>长春市新建住宅小区社区居家养老服务用房配建移交管理办法（征求意见稿）</w:t>
      </w:r>
    </w:p>
    <w:p w:rsidR="00D10AFC" w:rsidRDefault="00D10AFC">
      <w:pPr>
        <w:pStyle w:val="NormalWeb"/>
        <w:spacing w:before="0" w:beforeAutospacing="0" w:after="0" w:afterAutospacing="0" w:line="560" w:lineRule="exact"/>
        <w:rPr>
          <w:rFonts w:ascii="仿宋_GB2312" w:eastAsia="仿宋_GB2312"/>
          <w:color w:val="000000"/>
          <w:sz w:val="32"/>
          <w:szCs w:val="32"/>
        </w:rPr>
      </w:pPr>
      <w:r>
        <w:rPr>
          <w:rFonts w:ascii="仿宋_GB2312" w:eastAsia="仿宋_GB2312" w:hint="eastAsia"/>
          <w:color w:val="000000"/>
          <w:sz w:val="32"/>
          <w:szCs w:val="32"/>
        </w:rPr>
        <w:t xml:space="preserve">　　</w:t>
      </w: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第一章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总则</w:t>
      </w:r>
    </w:p>
    <w:p w:rsidR="00D10AFC" w:rsidRDefault="00D10AFC" w:rsidP="00D4119E">
      <w:pPr>
        <w:pStyle w:val="NormalWeb"/>
        <w:spacing w:before="0" w:beforeAutospacing="0" w:after="0" w:afterAutospacing="0" w:line="560" w:lineRule="exact"/>
        <w:ind w:firstLineChars="200" w:firstLine="31680"/>
        <w:jc w:val="both"/>
        <w:rPr>
          <w:rFonts w:ascii="黑体" w:eastAsia="黑体" w:hAnsi="黑体" w:cs="黑体"/>
          <w:color w:val="000000"/>
          <w:sz w:val="32"/>
          <w:szCs w:val="32"/>
        </w:rPr>
      </w:pP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Fonts w:ascii="黑体" w:eastAsia="黑体" w:hAnsi="黑体" w:cs="黑体" w:hint="eastAsia"/>
          <w:color w:val="000000"/>
          <w:sz w:val="32"/>
          <w:szCs w:val="32"/>
        </w:rPr>
        <w:t>第一条</w:t>
      </w:r>
      <w:r>
        <w:rPr>
          <w:rFonts w:ascii="仿宋_GB2312" w:eastAsia="仿宋_GB2312"/>
          <w:color w:val="000000"/>
          <w:sz w:val="32"/>
          <w:szCs w:val="32"/>
        </w:rPr>
        <w:t xml:space="preserve"> </w:t>
      </w:r>
      <w:r>
        <w:rPr>
          <w:rFonts w:ascii="仿宋_GB2312" w:eastAsia="仿宋_GB2312" w:hint="eastAsia"/>
          <w:color w:val="000000"/>
          <w:sz w:val="32"/>
          <w:szCs w:val="32"/>
        </w:rPr>
        <w:t>为规范新建住宅小区社区居家养老服务用房配建移交管理工作，加快发展社区居家养老服务，不断满足老年人持续增长的就近养老服务需求，结合我市实际，制定本办法。</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Pr>
          <w:rStyle w:val="Strong"/>
          <w:rFonts w:ascii="黑体" w:eastAsia="黑体" w:hAnsi="黑体" w:cs="黑体" w:hint="eastAsia"/>
          <w:b w:val="0"/>
          <w:bCs w:val="0"/>
          <w:color w:val="000000"/>
          <w:sz w:val="32"/>
          <w:szCs w:val="32"/>
        </w:rPr>
        <w:t>第二条</w:t>
      </w:r>
      <w:r>
        <w:rPr>
          <w:rStyle w:val="Strong"/>
          <w:rFonts w:ascii="黑体" w:eastAsia="黑体" w:hAnsi="黑体" w:cs="黑体"/>
          <w:b w:val="0"/>
          <w:bCs w:val="0"/>
          <w:color w:val="000000"/>
          <w:sz w:val="32"/>
          <w:szCs w:val="32"/>
        </w:rPr>
        <w:t xml:space="preserve"> </w:t>
      </w:r>
      <w:r>
        <w:rPr>
          <w:rFonts w:ascii="仿宋_GB2312" w:eastAsia="仿宋_GB2312" w:hint="eastAsia"/>
          <w:color w:val="000000"/>
          <w:sz w:val="32"/>
          <w:szCs w:val="32"/>
        </w:rPr>
        <w:t>本办法适用于长春市城区、开发区（含双阳、九台）行政区域内新建居住小区、新建住宅、老城区连片改造居民区、棚户区开发等各类新建住宅小区开发项目，在拟供应地块的规划条件或土地公开出让条件中明确由建设单位配套的社区居家养老服务用房的建设、移交和管理工作。</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社区居家养老服务用房是指用于建设街道养老服务综合体、社区嵌入式养老服务机构、社区助老餐厅等为</w:t>
      </w:r>
      <w:r>
        <w:rPr>
          <w:rFonts w:ascii="仿宋" w:eastAsia="仿宋" w:hAnsi="仿宋" w:cs="仿宋" w:hint="eastAsia"/>
          <w:color w:val="000000"/>
          <w:sz w:val="32"/>
          <w:szCs w:val="32"/>
          <w:shd w:val="clear" w:color="auto" w:fill="FFFFFF"/>
        </w:rPr>
        <w:t>居家老年人提供生活照料、文化娱乐、康复护理、精神慰藉等服务的设施和场所</w:t>
      </w:r>
      <w:r>
        <w:rPr>
          <w:rFonts w:ascii="仿宋_GB2312" w:eastAsia="仿宋_GB2312" w:hint="eastAsia"/>
          <w:color w:val="000000"/>
          <w:sz w:val="32"/>
          <w:szCs w:val="32"/>
        </w:rPr>
        <w:t>。</w:t>
      </w:r>
    </w:p>
    <w:p w:rsidR="00D10AFC" w:rsidRDefault="00D10AFC" w:rsidP="00D4119E">
      <w:pPr>
        <w:spacing w:line="560" w:lineRule="exact"/>
        <w:ind w:firstLineChars="200" w:firstLine="31680"/>
        <w:rPr>
          <w:rFonts w:ascii="仿宋" w:eastAsia="仿宋" w:hAnsi="仿宋" w:cs="仿宋"/>
          <w:color w:val="000000"/>
          <w:sz w:val="32"/>
          <w:szCs w:val="32"/>
        </w:rPr>
      </w:pPr>
      <w:r>
        <w:rPr>
          <w:rStyle w:val="Strong"/>
          <w:rFonts w:ascii="黑体" w:eastAsia="黑体" w:hAnsi="黑体" w:cs="黑体" w:hint="eastAsia"/>
          <w:b w:val="0"/>
          <w:bCs w:val="0"/>
          <w:color w:val="000000"/>
          <w:sz w:val="32"/>
          <w:szCs w:val="32"/>
        </w:rPr>
        <w:t>第三条</w:t>
      </w:r>
      <w:r>
        <w:rPr>
          <w:rFonts w:ascii="仿宋_GB2312" w:eastAsia="仿宋_GB2312"/>
          <w:color w:val="000000"/>
          <w:sz w:val="32"/>
          <w:szCs w:val="32"/>
        </w:rPr>
        <w:t xml:space="preserve"> </w:t>
      </w:r>
      <w:r>
        <w:rPr>
          <w:rFonts w:ascii="仿宋_GB2312" w:eastAsia="仿宋_GB2312" w:hint="eastAsia"/>
          <w:color w:val="000000"/>
          <w:sz w:val="32"/>
          <w:szCs w:val="32"/>
        </w:rPr>
        <w:t>市级民政、规自、建委、房管等部门</w:t>
      </w:r>
      <w:r>
        <w:rPr>
          <w:rFonts w:ascii="仿宋" w:eastAsia="仿宋" w:hAnsi="仿宋" w:cs="仿宋" w:hint="eastAsia"/>
          <w:color w:val="000000"/>
          <w:sz w:val="32"/>
          <w:szCs w:val="32"/>
        </w:rPr>
        <w:t>分工负责本市行政区域内新建住宅小区社区居家养老服务用房配建工作的组织、协调、指导。</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Fonts w:ascii="仿宋_GB2312" w:eastAsia="仿宋_GB2312" w:hAnsi="仿宋_GB2312" w:cs="仿宋_GB2312" w:hint="eastAsia"/>
          <w:color w:val="000000"/>
          <w:sz w:val="32"/>
          <w:szCs w:val="32"/>
        </w:rPr>
        <w:t>区级</w:t>
      </w:r>
      <w:r>
        <w:rPr>
          <w:rFonts w:ascii="仿宋_GB2312" w:eastAsia="仿宋_GB2312" w:hint="eastAsia"/>
          <w:color w:val="000000"/>
          <w:sz w:val="32"/>
          <w:szCs w:val="32"/>
        </w:rPr>
        <w:t>民政、规自、住建等部门在各自职责范围内负责本行政区域内新建住宅小区社区居家养老服务用房配建工作的行业指导、监督和管理。</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第四条</w:t>
      </w:r>
      <w:r>
        <w:rPr>
          <w:rFonts w:ascii="仿宋_GB2312" w:eastAsia="仿宋_GB2312"/>
          <w:color w:val="000000"/>
          <w:sz w:val="32"/>
          <w:szCs w:val="32"/>
        </w:rPr>
        <w:t xml:space="preserve"> </w:t>
      </w:r>
      <w:r>
        <w:rPr>
          <w:rFonts w:ascii="仿宋_GB2312" w:eastAsia="仿宋_GB2312" w:hint="eastAsia"/>
          <w:color w:val="000000"/>
          <w:sz w:val="32"/>
          <w:szCs w:val="32"/>
        </w:rPr>
        <w:t>新建住宅小区配建的社区养老服务用房等设施应当与住宅项目同步规划、同步建设、同步验收、同步交付使用。</w:t>
      </w: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第二章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配建要求</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第五条</w:t>
      </w:r>
      <w:r>
        <w:rPr>
          <w:rFonts w:ascii="仿宋_GB2312" w:eastAsia="仿宋_GB2312"/>
          <w:color w:val="000000"/>
          <w:sz w:val="32"/>
          <w:szCs w:val="32"/>
        </w:rPr>
        <w:t xml:space="preserve"> </w:t>
      </w:r>
      <w:r>
        <w:rPr>
          <w:rFonts w:ascii="仿宋_GB2312" w:eastAsia="仿宋_GB2312" w:hint="eastAsia"/>
          <w:color w:val="000000"/>
          <w:sz w:val="32"/>
          <w:szCs w:val="32"/>
        </w:rPr>
        <w:t>新建住宅小区配建的社区居家养老服务用房应当符合社区居家养老服务用房布局规划，按照《城市公共设施规划规范》</w:t>
      </w:r>
      <w:r>
        <w:rPr>
          <w:rFonts w:ascii="仿宋_GB2312" w:eastAsia="仿宋_GB2312"/>
          <w:color w:val="000000"/>
          <w:sz w:val="32"/>
          <w:szCs w:val="32"/>
        </w:rPr>
        <w:t>(GB 50442-2008)</w:t>
      </w:r>
      <w:r>
        <w:rPr>
          <w:rFonts w:ascii="仿宋_GB2312" w:eastAsia="仿宋_GB2312" w:hint="eastAsia"/>
          <w:color w:val="000000"/>
          <w:sz w:val="32"/>
          <w:szCs w:val="32"/>
        </w:rPr>
        <w:t>《城镇老年人设施规划规范》</w:t>
      </w:r>
      <w:r>
        <w:rPr>
          <w:rFonts w:ascii="仿宋_GB2312" w:eastAsia="仿宋_GB2312"/>
          <w:color w:val="000000"/>
          <w:sz w:val="32"/>
          <w:szCs w:val="32"/>
        </w:rPr>
        <w:t>(GB 50437-2007)</w:t>
      </w:r>
      <w:r>
        <w:rPr>
          <w:rFonts w:ascii="仿宋_GB2312" w:eastAsia="仿宋_GB2312" w:hint="eastAsia"/>
          <w:color w:val="000000"/>
          <w:sz w:val="32"/>
          <w:szCs w:val="32"/>
        </w:rPr>
        <w:t>《城市居住区规划设计规范》</w:t>
      </w:r>
      <w:r>
        <w:rPr>
          <w:rFonts w:ascii="仿宋_GB2312" w:eastAsia="仿宋_GB2312"/>
          <w:color w:val="000000"/>
          <w:sz w:val="32"/>
          <w:szCs w:val="32"/>
        </w:rPr>
        <w:t>(GB 50180-93)</w:t>
      </w:r>
      <w:r>
        <w:rPr>
          <w:rFonts w:ascii="仿宋_GB2312" w:eastAsia="仿宋_GB2312" w:hint="eastAsia"/>
          <w:color w:val="000000"/>
          <w:sz w:val="32"/>
          <w:szCs w:val="32"/>
        </w:rPr>
        <w:t>等标准要求规划布局。</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第六条</w:t>
      </w:r>
      <w:r>
        <w:rPr>
          <w:rFonts w:ascii="仿宋_GB2312" w:eastAsia="仿宋_GB2312"/>
          <w:color w:val="000000"/>
          <w:sz w:val="32"/>
          <w:szCs w:val="32"/>
        </w:rPr>
        <w:t xml:space="preserve"> </w:t>
      </w:r>
      <w:r>
        <w:rPr>
          <w:rFonts w:ascii="仿宋_GB2312" w:eastAsia="仿宋_GB2312" w:hint="eastAsia"/>
          <w:color w:val="000000"/>
          <w:sz w:val="32"/>
          <w:szCs w:val="32"/>
        </w:rPr>
        <w:t>新建住宅小区按照每百户不少于</w:t>
      </w:r>
      <w:r>
        <w:rPr>
          <w:rFonts w:ascii="仿宋_GB2312" w:eastAsia="仿宋_GB2312"/>
          <w:color w:val="000000"/>
          <w:sz w:val="32"/>
          <w:szCs w:val="32"/>
        </w:rPr>
        <w:t>20</w:t>
      </w:r>
      <w:r>
        <w:rPr>
          <w:rFonts w:ascii="仿宋_GB2312" w:eastAsia="仿宋_GB2312" w:hint="eastAsia"/>
          <w:color w:val="000000"/>
          <w:sz w:val="32"/>
          <w:szCs w:val="32"/>
        </w:rPr>
        <w:t>平方米建筑面积配建社区居家养老服务用房，且单体用房面积不得少于</w:t>
      </w:r>
      <w:r>
        <w:rPr>
          <w:rFonts w:ascii="仿宋_GB2312" w:eastAsia="仿宋_GB2312"/>
          <w:color w:val="000000"/>
          <w:sz w:val="32"/>
          <w:szCs w:val="32"/>
        </w:rPr>
        <w:t>300</w:t>
      </w:r>
      <w:r>
        <w:rPr>
          <w:rFonts w:ascii="仿宋_GB2312" w:eastAsia="仿宋_GB2312" w:hint="eastAsia"/>
          <w:color w:val="000000"/>
          <w:sz w:val="32"/>
          <w:szCs w:val="32"/>
        </w:rPr>
        <w:t>平方米。</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社区居家养老服务用房服务半径应小于</w:t>
      </w:r>
      <w:r>
        <w:rPr>
          <w:rFonts w:ascii="仿宋_GB2312" w:eastAsia="仿宋_GB2312"/>
          <w:color w:val="000000"/>
          <w:sz w:val="32"/>
          <w:szCs w:val="32"/>
        </w:rPr>
        <w:t>1000</w:t>
      </w:r>
      <w:r>
        <w:rPr>
          <w:rFonts w:ascii="仿宋_GB2312" w:eastAsia="仿宋_GB2312" w:hint="eastAsia"/>
          <w:color w:val="000000"/>
          <w:sz w:val="32"/>
          <w:szCs w:val="32"/>
        </w:rPr>
        <w:t>米。大型新建住宅小区项目可以适当分散布局，小型新建住宅小区项目可在相邻附近适当集中配置，但要避免出现用房分布小而散，难以满足使用管理需要的情况。</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各区应按照“统筹规划、均衡布局、分级设置”的原则，结合本地区实际，确定需要分散布局和集中配置的新建住宅小区规模。</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第七条</w:t>
      </w:r>
      <w:r>
        <w:rPr>
          <w:rFonts w:ascii="仿宋_GB2312" w:eastAsia="仿宋_GB2312"/>
          <w:color w:val="000000"/>
          <w:sz w:val="32"/>
          <w:szCs w:val="32"/>
        </w:rPr>
        <w:t xml:space="preserve"> </w:t>
      </w:r>
      <w:r>
        <w:rPr>
          <w:rFonts w:ascii="仿宋_GB2312" w:eastAsia="仿宋_GB2312" w:hint="eastAsia"/>
          <w:color w:val="000000"/>
          <w:sz w:val="32"/>
          <w:szCs w:val="32"/>
        </w:rPr>
        <w:t>社区居家养老服务用房选址应设置在辖区内市政设施条件较好、位置适中、方便老年人出入、便于服务辖区居民特别是老年人的地段，宜靠近广场、公园、绿地等公共活动空间。应与社区卫生、文化、教育、体育健身、残疾人康复等基本公共服务设施集中或邻近设置，以提高用房服务和利用效率。小区封闭管理的，社区居家养老服务用房应设有直通小区外的独立出口。</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各区要根据各类用房的使用功能要求做到流线清晰、服务方便、周边环境美化。</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Fonts w:ascii="黑体" w:eastAsia="黑体" w:hAnsi="黑体" w:cs="黑体" w:hint="eastAsia"/>
          <w:color w:val="000000"/>
          <w:sz w:val="32"/>
          <w:szCs w:val="32"/>
        </w:rPr>
        <w:t>第八条</w:t>
      </w:r>
      <w:r>
        <w:rPr>
          <w:rFonts w:ascii="仿宋_GB2312" w:eastAsia="仿宋_GB2312"/>
          <w:color w:val="000000"/>
          <w:sz w:val="32"/>
          <w:szCs w:val="32"/>
        </w:rPr>
        <w:t xml:space="preserve"> </w:t>
      </w:r>
      <w:r>
        <w:rPr>
          <w:rFonts w:ascii="仿宋_GB2312" w:eastAsia="仿宋_GB2312" w:hint="eastAsia"/>
          <w:color w:val="000000"/>
          <w:sz w:val="32"/>
          <w:szCs w:val="32"/>
        </w:rPr>
        <w:t>社区居家养老服务用房与其他综合管理服务设施结合设置时，应安排在建筑物的低层，一般应设置于一、二层，安排在建筑的二层</w:t>
      </w:r>
      <w:r>
        <w:rPr>
          <w:rFonts w:ascii="仿宋_GB2312" w:eastAsia="仿宋_GB2312"/>
          <w:color w:val="000000"/>
          <w:sz w:val="32"/>
          <w:szCs w:val="32"/>
        </w:rPr>
        <w:t>(</w:t>
      </w:r>
      <w:r>
        <w:rPr>
          <w:rFonts w:ascii="仿宋_GB2312" w:eastAsia="仿宋_GB2312" w:hint="eastAsia"/>
          <w:color w:val="000000"/>
          <w:sz w:val="32"/>
          <w:szCs w:val="32"/>
        </w:rPr>
        <w:t>含二层</w:t>
      </w:r>
      <w:r>
        <w:rPr>
          <w:rFonts w:ascii="仿宋_GB2312" w:eastAsia="仿宋_GB2312"/>
          <w:color w:val="000000"/>
          <w:sz w:val="32"/>
          <w:szCs w:val="32"/>
        </w:rPr>
        <w:t>)</w:t>
      </w:r>
      <w:r>
        <w:rPr>
          <w:rFonts w:ascii="仿宋_GB2312" w:eastAsia="仿宋_GB2312" w:hint="eastAsia"/>
          <w:color w:val="000000"/>
          <w:sz w:val="32"/>
          <w:szCs w:val="32"/>
        </w:rPr>
        <w:t>以上的应设置无障碍电梯。供老年人使用的场所不得安排在建筑的地下层、半地下层和夹层。</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Pr>
          <w:rStyle w:val="Strong"/>
          <w:rFonts w:ascii="黑体" w:eastAsia="黑体" w:hAnsi="黑体" w:cs="黑体" w:hint="eastAsia"/>
          <w:b w:val="0"/>
          <w:bCs w:val="0"/>
          <w:color w:val="000000"/>
          <w:sz w:val="32"/>
          <w:szCs w:val="32"/>
        </w:rPr>
        <w:t>第九条</w:t>
      </w:r>
      <w:r>
        <w:rPr>
          <w:rFonts w:ascii="仿宋_GB2312" w:eastAsia="仿宋_GB2312"/>
          <w:color w:val="000000"/>
          <w:sz w:val="32"/>
          <w:szCs w:val="32"/>
        </w:rPr>
        <w:t xml:space="preserve"> </w:t>
      </w:r>
      <w:r>
        <w:rPr>
          <w:rFonts w:ascii="仿宋_GB2312" w:eastAsia="仿宋_GB2312" w:hint="eastAsia"/>
          <w:color w:val="000000"/>
          <w:sz w:val="32"/>
          <w:szCs w:val="32"/>
        </w:rPr>
        <w:t>社区居家养老服务用房应建设在日照充足、通风良好的位置，并满足有关规范规定的日照时数要求。</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社区居家养老服务用房应与污染源、噪声源及危险品生产、储存等区域的间距应满足国家有关规范的规定。</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第十条</w:t>
      </w:r>
      <w:r>
        <w:rPr>
          <w:rFonts w:ascii="仿宋_GB2312" w:eastAsia="仿宋_GB2312"/>
          <w:color w:val="000000"/>
          <w:sz w:val="32"/>
          <w:szCs w:val="32"/>
        </w:rPr>
        <w:t xml:space="preserve"> </w:t>
      </w:r>
      <w:r>
        <w:rPr>
          <w:rFonts w:ascii="仿宋_GB2312" w:eastAsia="仿宋_GB2312" w:hint="eastAsia"/>
          <w:color w:val="000000"/>
          <w:sz w:val="32"/>
          <w:szCs w:val="32"/>
        </w:rPr>
        <w:t>社区居家养老服务用房要符合适老化建筑标准，主要出入口应当单独设置，出入口实现无障碍进出，应采用无障碍台阶并安装扶手，设有轮椅坡道，安全出口不应少于</w:t>
      </w:r>
      <w:r>
        <w:rPr>
          <w:rFonts w:ascii="仿宋_GB2312" w:eastAsia="仿宋_GB2312"/>
          <w:color w:val="000000"/>
          <w:sz w:val="32"/>
          <w:szCs w:val="32"/>
        </w:rPr>
        <w:t>2</w:t>
      </w:r>
      <w:r>
        <w:rPr>
          <w:rFonts w:ascii="仿宋_GB2312" w:eastAsia="仿宋_GB2312" w:hint="eastAsia"/>
          <w:color w:val="000000"/>
          <w:sz w:val="32"/>
          <w:szCs w:val="32"/>
        </w:rPr>
        <w:t>个。</w:t>
      </w:r>
    </w:p>
    <w:p w:rsidR="00D10AFC" w:rsidRDefault="00D10AFC">
      <w:pPr>
        <w:pStyle w:val="NormalWeb"/>
        <w:spacing w:before="0" w:beforeAutospacing="0" w:after="0" w:afterAutospacing="0" w:line="560" w:lineRule="exact"/>
        <w:ind w:firstLine="651"/>
        <w:jc w:val="both"/>
        <w:rPr>
          <w:rFonts w:ascii="仿宋_GB2312" w:eastAsia="仿宋_GB2312"/>
          <w:color w:val="000000"/>
          <w:sz w:val="32"/>
          <w:szCs w:val="32"/>
        </w:rPr>
      </w:pPr>
      <w:r>
        <w:rPr>
          <w:rFonts w:ascii="仿宋_GB2312" w:eastAsia="仿宋_GB2312" w:hint="eastAsia"/>
          <w:color w:val="000000"/>
          <w:sz w:val="32"/>
          <w:szCs w:val="32"/>
        </w:rPr>
        <w:t>社区居家养老服务用房出入口前的道路设计应便于人车分流的组织管理，并应满足消防、疏散及救护等要求，同时应设有可停车周转的场地，保证救护车辆就近停靠。</w:t>
      </w:r>
    </w:p>
    <w:p w:rsidR="00D10AFC" w:rsidRDefault="00D10AFC">
      <w:pPr>
        <w:pStyle w:val="NormalWeb"/>
        <w:spacing w:before="0" w:beforeAutospacing="0" w:after="0" w:afterAutospacing="0" w:line="560" w:lineRule="exact"/>
        <w:jc w:val="center"/>
        <w:rPr>
          <w:rStyle w:val="Strong"/>
          <w:rFonts w:ascii="黑体" w:eastAsia="黑体" w:hAnsi="黑体" w:cs="黑体"/>
          <w:b w:val="0"/>
          <w:bCs w:val="0"/>
          <w:color w:val="000000"/>
          <w:sz w:val="32"/>
          <w:szCs w:val="32"/>
        </w:rPr>
      </w:pPr>
    </w:p>
    <w:p w:rsidR="00D10AFC" w:rsidRDefault="00D10AFC">
      <w:pPr>
        <w:pStyle w:val="NormalWeb"/>
        <w:spacing w:before="0" w:beforeAutospacing="0" w:after="0" w:afterAutospacing="0" w:line="560" w:lineRule="exact"/>
        <w:jc w:val="center"/>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第三章</w:t>
      </w:r>
      <w:r>
        <w:rPr>
          <w:rStyle w:val="Strong"/>
          <w:rFonts w:ascii="黑体" w:eastAsia="黑体" w:hAnsi="黑体" w:cs="黑体"/>
          <w:b w:val="0"/>
          <w:bCs w:val="0"/>
          <w:color w:val="000000"/>
          <w:sz w:val="32"/>
          <w:szCs w:val="32"/>
        </w:rPr>
        <w:t xml:space="preserve"> </w:t>
      </w:r>
      <w:r>
        <w:rPr>
          <w:rStyle w:val="Strong"/>
          <w:rFonts w:ascii="黑体" w:eastAsia="黑体" w:hAnsi="黑体" w:cs="黑体" w:hint="eastAsia"/>
          <w:b w:val="0"/>
          <w:bCs w:val="0"/>
          <w:color w:val="000000"/>
          <w:sz w:val="32"/>
          <w:szCs w:val="32"/>
        </w:rPr>
        <w:t>同步规划</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第十一条</w:t>
      </w:r>
      <w:r>
        <w:rPr>
          <w:rFonts w:ascii="仿宋_GB2312" w:eastAsia="仿宋_GB2312"/>
          <w:color w:val="000000"/>
          <w:sz w:val="32"/>
          <w:szCs w:val="32"/>
        </w:rPr>
        <w:t xml:space="preserve"> </w:t>
      </w:r>
      <w:r>
        <w:rPr>
          <w:rFonts w:ascii="仿宋_GB2312" w:eastAsia="仿宋_GB2312" w:hint="eastAsia"/>
          <w:color w:val="000000"/>
          <w:sz w:val="32"/>
          <w:szCs w:val="32"/>
        </w:rPr>
        <w:t>规自部门提出新建住宅小区项目拟供应地块规划条件时，应根据社区居家养老服务用房建设规划、控制性详细规划和有关技术规范的要求，同步提出配建社区居家养老服务用房的相关要求。</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Pr>
          <w:rStyle w:val="Strong"/>
          <w:rFonts w:ascii="黑体" w:eastAsia="黑体" w:hAnsi="黑体" w:cs="黑体" w:hint="eastAsia"/>
          <w:b w:val="0"/>
          <w:bCs w:val="0"/>
          <w:color w:val="000000"/>
          <w:sz w:val="32"/>
          <w:szCs w:val="32"/>
        </w:rPr>
        <w:t>第十二条</w:t>
      </w:r>
      <w:r>
        <w:rPr>
          <w:rFonts w:ascii="仿宋_GB2312" w:eastAsia="仿宋_GB2312"/>
          <w:color w:val="000000"/>
          <w:sz w:val="32"/>
          <w:szCs w:val="32"/>
        </w:rPr>
        <w:t xml:space="preserve"> </w:t>
      </w:r>
      <w:r>
        <w:rPr>
          <w:rFonts w:ascii="仿宋_GB2312" w:eastAsia="仿宋_GB2312" w:hint="eastAsia"/>
          <w:color w:val="000000"/>
          <w:sz w:val="32"/>
          <w:szCs w:val="32"/>
        </w:rPr>
        <w:t>规自部门在拟定国有建设用地使用权出让方案时，将确定的社区居家服务用房配建位置、规模、设计标准等规划条件作为土地供应的前提条件，纳入出让公告和出让文件，同时写入《国有建设用地使用权出让合同》第十五条等相关条款，并予以执行。</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Pr>
          <w:rStyle w:val="Strong"/>
          <w:rFonts w:ascii="黑体" w:eastAsia="黑体" w:hAnsi="黑体" w:cs="黑体" w:hint="eastAsia"/>
          <w:b w:val="0"/>
          <w:bCs w:val="0"/>
          <w:color w:val="000000"/>
          <w:sz w:val="32"/>
          <w:szCs w:val="32"/>
        </w:rPr>
        <w:t>第十三条</w:t>
      </w:r>
      <w:r>
        <w:rPr>
          <w:rFonts w:ascii="仿宋_GB2312" w:eastAsia="仿宋_GB2312"/>
          <w:color w:val="000000"/>
          <w:sz w:val="32"/>
          <w:szCs w:val="32"/>
        </w:rPr>
        <w:t xml:space="preserve"> </w:t>
      </w:r>
      <w:r>
        <w:rPr>
          <w:rFonts w:ascii="仿宋_GB2312" w:eastAsia="仿宋_GB2312" w:hint="eastAsia"/>
          <w:color w:val="000000"/>
          <w:sz w:val="32"/>
          <w:szCs w:val="32"/>
        </w:rPr>
        <w:t>在编制住宅小区建设工程规划设计方案时，承担配建任务的项目建设单位应同步编制配建社区居家养老服务用房规划设计方案，并邀请新建住宅小区所在地区级民政部门和项目所在地街道办事处</w:t>
      </w:r>
      <w:r>
        <w:rPr>
          <w:rFonts w:ascii="仿宋_GB2312" w:eastAsia="仿宋_GB2312"/>
          <w:color w:val="000000"/>
          <w:sz w:val="32"/>
          <w:szCs w:val="32"/>
        </w:rPr>
        <w:t>(</w:t>
      </w:r>
      <w:r>
        <w:rPr>
          <w:rFonts w:ascii="仿宋_GB2312" w:eastAsia="仿宋_GB2312" w:hint="eastAsia"/>
          <w:color w:val="000000"/>
          <w:sz w:val="32"/>
          <w:szCs w:val="32"/>
        </w:rPr>
        <w:t>乡、镇</w:t>
      </w:r>
      <w:r>
        <w:rPr>
          <w:rFonts w:ascii="仿宋_GB2312" w:eastAsia="仿宋_GB2312"/>
          <w:color w:val="000000"/>
          <w:sz w:val="32"/>
          <w:szCs w:val="32"/>
        </w:rPr>
        <w:t>)</w:t>
      </w:r>
      <w:r>
        <w:rPr>
          <w:rFonts w:ascii="仿宋_GB2312" w:eastAsia="仿宋_GB2312" w:hint="eastAsia"/>
          <w:color w:val="000000"/>
          <w:sz w:val="32"/>
          <w:szCs w:val="32"/>
        </w:rPr>
        <w:t>进行指导，在指导编制社区居家养老服务用房规划设计方案时，民政部门应结合当地老年人口现状、养老服务需求以及用房运营管理需要对用房位置、各种功能用房面积、建筑高度、建筑日照、交通组织等提出书面具体指导意见。</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Pr>
          <w:rStyle w:val="Strong"/>
          <w:rFonts w:ascii="黑体" w:eastAsia="黑体" w:hAnsi="黑体" w:cs="黑体" w:hint="eastAsia"/>
          <w:b w:val="0"/>
          <w:bCs w:val="0"/>
          <w:color w:val="000000"/>
          <w:sz w:val="32"/>
          <w:szCs w:val="32"/>
        </w:rPr>
        <w:t>第十四条</w:t>
      </w:r>
      <w:r>
        <w:rPr>
          <w:rFonts w:ascii="仿宋_GB2312" w:eastAsia="仿宋_GB2312"/>
          <w:color w:val="000000"/>
          <w:sz w:val="32"/>
          <w:szCs w:val="32"/>
        </w:rPr>
        <w:t xml:space="preserve"> </w:t>
      </w:r>
      <w:r>
        <w:rPr>
          <w:rFonts w:ascii="仿宋_GB2312" w:eastAsia="仿宋_GB2312" w:hint="eastAsia"/>
          <w:color w:val="000000"/>
          <w:sz w:val="32"/>
          <w:szCs w:val="32"/>
        </w:rPr>
        <w:t>在新建住宅小区建设工程规划设计方案审查时，规自部门应当核查社区居家养老服务用房是否符合规划条件。对不符合规划条件的建设工程规划设计方案不得通过审查。</w:t>
      </w:r>
    </w:p>
    <w:p w:rsidR="00D10AFC" w:rsidRDefault="00D10AFC">
      <w:pPr>
        <w:pStyle w:val="NormalWeb"/>
        <w:spacing w:before="0" w:beforeAutospacing="0" w:after="0" w:afterAutospacing="0" w:line="560" w:lineRule="exact"/>
        <w:ind w:firstLine="656"/>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第十五条</w:t>
      </w:r>
      <w:r>
        <w:rPr>
          <w:rFonts w:ascii="仿宋_GB2312" w:eastAsia="仿宋_GB2312"/>
          <w:color w:val="000000"/>
          <w:sz w:val="32"/>
          <w:szCs w:val="32"/>
        </w:rPr>
        <w:t xml:space="preserve"> </w:t>
      </w:r>
      <w:r>
        <w:rPr>
          <w:rFonts w:ascii="仿宋_GB2312" w:eastAsia="仿宋_GB2312" w:hint="eastAsia"/>
          <w:color w:val="000000"/>
          <w:sz w:val="32"/>
          <w:szCs w:val="32"/>
        </w:rPr>
        <w:t>新建住宅小区申请办理建设工程规划许可证时，规自部门应联合民政部门对建设工程规划设计方案同步开展业务审查。</w:t>
      </w:r>
    </w:p>
    <w:p w:rsidR="00D10AFC" w:rsidRDefault="00D10AFC">
      <w:pPr>
        <w:pStyle w:val="NormalWeb"/>
        <w:spacing w:before="0" w:beforeAutospacing="0" w:after="0" w:afterAutospacing="0" w:line="560" w:lineRule="exact"/>
        <w:ind w:firstLine="656"/>
        <w:jc w:val="both"/>
        <w:rPr>
          <w:rFonts w:ascii="仿宋_GB2312" w:eastAsia="仿宋_GB2312"/>
          <w:color w:val="000000"/>
          <w:sz w:val="32"/>
          <w:szCs w:val="32"/>
        </w:rPr>
      </w:pPr>
      <w:r>
        <w:rPr>
          <w:rFonts w:ascii="仿宋_GB2312" w:eastAsia="仿宋_GB2312" w:hint="eastAsia"/>
          <w:color w:val="000000"/>
          <w:sz w:val="32"/>
          <w:szCs w:val="32"/>
        </w:rPr>
        <w:t>对不符合规划条件或国家有关建设标准规范的建设工程规划设计方案，不得通过审查，不得核发建设工程规划许可证。</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第十六条</w:t>
      </w:r>
      <w:r>
        <w:rPr>
          <w:rFonts w:ascii="仿宋_GB2312" w:eastAsia="仿宋_GB2312"/>
          <w:color w:val="000000"/>
          <w:sz w:val="32"/>
          <w:szCs w:val="32"/>
        </w:rPr>
        <w:t xml:space="preserve"> </w:t>
      </w:r>
      <w:r>
        <w:rPr>
          <w:rFonts w:ascii="仿宋_GB2312" w:eastAsia="仿宋_GB2312" w:hint="eastAsia"/>
          <w:color w:val="000000"/>
          <w:sz w:val="32"/>
          <w:szCs w:val="32"/>
        </w:rPr>
        <w:t>因特殊情况需要调整配建社区居家养老服务用房规划设计方案的，承担配建任务的项目建设单位应与项目所在地区级民政部门协商，取得民政部门书面意见后报当地规自部门审定。</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未取得项目所在地区级民政部门书面意见的变更申请，规自部门不予受理。未经规自部门同意，建设单位不得擅自变更规划许可内容。</w:t>
      </w: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第四章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同步建设</w:t>
      </w:r>
    </w:p>
    <w:p w:rsidR="00D10AFC" w:rsidRDefault="00D10AFC" w:rsidP="00D4119E">
      <w:pPr>
        <w:pStyle w:val="NormalWeb"/>
        <w:spacing w:before="0" w:beforeAutospacing="0" w:after="0" w:afterAutospacing="0" w:line="560" w:lineRule="exact"/>
        <w:ind w:firstLineChars="200" w:firstLine="31680"/>
        <w:jc w:val="both"/>
        <w:rPr>
          <w:rStyle w:val="Strong"/>
          <w:rFonts w:ascii="黑体" w:eastAsia="黑体" w:hAnsi="黑体" w:cs="黑体"/>
          <w:b w:val="0"/>
          <w:bCs w:val="0"/>
          <w:color w:val="000000"/>
          <w:sz w:val="32"/>
          <w:szCs w:val="32"/>
        </w:rPr>
      </w:pP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第十七条</w:t>
      </w:r>
      <w:r>
        <w:rPr>
          <w:rStyle w:val="Strong"/>
          <w:rFonts w:ascii="黑体" w:eastAsia="黑体" w:hAnsi="黑体" w:cs="黑体"/>
          <w:b w:val="0"/>
          <w:bCs w:val="0"/>
          <w:color w:val="000000"/>
          <w:sz w:val="32"/>
          <w:szCs w:val="32"/>
        </w:rPr>
        <w:t xml:space="preserve"> </w:t>
      </w:r>
      <w:r>
        <w:rPr>
          <w:rFonts w:ascii="仿宋_GB2312" w:eastAsia="仿宋_GB2312" w:hint="eastAsia"/>
          <w:color w:val="000000"/>
          <w:sz w:val="32"/>
          <w:szCs w:val="32"/>
        </w:rPr>
        <w:t>在编制新建住宅小区建设工程设计方案时，设计单位应根据该小区建设工程规划设计方案确定的社区居家养老服务用房类型，严格按照《老年人建筑设计规范》</w:t>
      </w:r>
      <w:r>
        <w:rPr>
          <w:rFonts w:ascii="仿宋_GB2312" w:eastAsia="仿宋_GB2312"/>
          <w:color w:val="000000"/>
          <w:sz w:val="32"/>
          <w:szCs w:val="32"/>
        </w:rPr>
        <w:t>(JGJ 122-99)</w:t>
      </w:r>
      <w:r>
        <w:rPr>
          <w:rFonts w:ascii="仿宋_GB2312" w:eastAsia="仿宋_GB2312" w:hint="eastAsia"/>
          <w:color w:val="000000"/>
          <w:sz w:val="32"/>
          <w:szCs w:val="32"/>
        </w:rPr>
        <w:t>《养老设施建筑设计规范》</w:t>
      </w:r>
      <w:r>
        <w:rPr>
          <w:rFonts w:ascii="仿宋_GB2312" w:eastAsia="仿宋_GB2312"/>
          <w:color w:val="000000"/>
          <w:sz w:val="32"/>
          <w:szCs w:val="32"/>
        </w:rPr>
        <w:t>(GB 50867)</w:t>
      </w:r>
      <w:r>
        <w:rPr>
          <w:rFonts w:ascii="仿宋_GB2312" w:eastAsia="仿宋_GB2312" w:hint="eastAsia"/>
          <w:color w:val="000000"/>
          <w:sz w:val="32"/>
          <w:szCs w:val="32"/>
        </w:rPr>
        <w:t>《无障碍设计规范》</w:t>
      </w:r>
      <w:r>
        <w:rPr>
          <w:rFonts w:ascii="仿宋_GB2312" w:eastAsia="仿宋_GB2312"/>
          <w:color w:val="000000"/>
          <w:sz w:val="32"/>
          <w:szCs w:val="32"/>
        </w:rPr>
        <w:t>(GB50763-2012)</w:t>
      </w:r>
      <w:r>
        <w:rPr>
          <w:rFonts w:ascii="仿宋_GB2312" w:eastAsia="仿宋_GB2312" w:hint="eastAsia"/>
          <w:color w:val="000000"/>
          <w:sz w:val="32"/>
          <w:szCs w:val="32"/>
        </w:rPr>
        <w:t>等标准规范的要求进行设计。</w:t>
      </w:r>
    </w:p>
    <w:p w:rsidR="00D10AFC" w:rsidRDefault="00D10AFC">
      <w:pPr>
        <w:pStyle w:val="NormalWeb"/>
        <w:spacing w:before="0" w:beforeAutospacing="0" w:after="0" w:afterAutospacing="0" w:line="560" w:lineRule="exact"/>
        <w:jc w:val="both"/>
        <w:rPr>
          <w:rFonts w:ascii="仿宋_GB2312" w:eastAsia="仿宋_GB2312"/>
          <w:color w:val="000000"/>
          <w:sz w:val="32"/>
          <w:szCs w:val="32"/>
        </w:rPr>
      </w:pPr>
      <w:r>
        <w:rPr>
          <w:rFonts w:ascii="仿宋_GB2312" w:eastAsia="仿宋_GB2312" w:hint="eastAsia"/>
          <w:color w:val="000000"/>
          <w:sz w:val="32"/>
          <w:szCs w:val="32"/>
        </w:rPr>
        <w:t xml:space="preserve">　　</w:t>
      </w:r>
      <w:r>
        <w:rPr>
          <w:rStyle w:val="Strong"/>
          <w:rFonts w:ascii="黑体" w:eastAsia="黑体" w:hAnsi="黑体" w:cs="黑体" w:hint="eastAsia"/>
          <w:b w:val="0"/>
          <w:bCs w:val="0"/>
          <w:color w:val="000000"/>
          <w:sz w:val="32"/>
          <w:szCs w:val="32"/>
        </w:rPr>
        <w:t>第十八条</w:t>
      </w:r>
      <w:r>
        <w:rPr>
          <w:rFonts w:ascii="仿宋_GB2312" w:eastAsia="仿宋_GB2312"/>
          <w:color w:val="000000"/>
          <w:sz w:val="32"/>
          <w:szCs w:val="32"/>
        </w:rPr>
        <w:t xml:space="preserve"> </w:t>
      </w:r>
      <w:r>
        <w:rPr>
          <w:rFonts w:ascii="仿宋_GB2312" w:eastAsia="仿宋_GB2312" w:hint="eastAsia"/>
          <w:color w:val="000000"/>
          <w:sz w:val="32"/>
          <w:szCs w:val="32"/>
        </w:rPr>
        <w:t>在新建住宅小区建设工程设计方案审查时，审查部门应当核查社区居家养老服务用房是否符合审查同意的建设工程规划设计方案和国家有关建设标准规范要求，对不符合审查同意的建设工程规划设计方案和国家有关标准规范要求的建设工程设计方案不得通过审查。</w:t>
      </w:r>
    </w:p>
    <w:p w:rsidR="00D10AFC" w:rsidRDefault="00D10AFC">
      <w:pPr>
        <w:pStyle w:val="NormalWeb"/>
        <w:shd w:val="clear" w:color="auto" w:fill="FFFFFF"/>
        <w:spacing w:before="0" w:beforeAutospacing="0" w:after="0" w:afterAutospacing="0" w:line="560" w:lineRule="exact"/>
        <w:ind w:firstLine="651"/>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第十九条</w:t>
      </w:r>
      <w:r>
        <w:rPr>
          <w:rFonts w:ascii="仿宋_GB2312" w:eastAsia="仿宋_GB2312"/>
          <w:color w:val="000000"/>
          <w:sz w:val="32"/>
          <w:szCs w:val="32"/>
        </w:rPr>
        <w:t xml:space="preserve"> </w:t>
      </w:r>
      <w:r>
        <w:rPr>
          <w:rFonts w:ascii="仿宋_GB2312" w:eastAsia="仿宋_GB2312" w:hint="eastAsia"/>
          <w:color w:val="000000"/>
          <w:sz w:val="32"/>
          <w:szCs w:val="32"/>
        </w:rPr>
        <w:t>建设单位不得擅自变更社区居家养老服务用房设计内容，因特殊情况需要变更配建社区居家养老服务用房设计的，应经原审批部门审核同意，并报所在地区级民政部门备案。</w:t>
      </w:r>
    </w:p>
    <w:p w:rsidR="00D10AFC" w:rsidRDefault="00D10AFC">
      <w:pPr>
        <w:pStyle w:val="NormalWeb"/>
        <w:shd w:val="clear" w:color="auto" w:fill="FFFFFF"/>
        <w:spacing w:before="0" w:beforeAutospacing="0" w:after="0" w:afterAutospacing="0" w:line="560" w:lineRule="exact"/>
        <w:ind w:firstLine="651"/>
        <w:jc w:val="both"/>
        <w:rPr>
          <w:rFonts w:ascii="仿宋_GB2312" w:eastAsia="仿宋_GB2312"/>
          <w:color w:val="000000"/>
          <w:sz w:val="32"/>
          <w:szCs w:val="32"/>
        </w:rPr>
      </w:pPr>
      <w:r>
        <w:rPr>
          <w:rFonts w:ascii="仿宋_GB2312" w:eastAsia="仿宋_GB2312" w:hint="eastAsia"/>
          <w:color w:val="000000"/>
          <w:sz w:val="32"/>
          <w:szCs w:val="32"/>
        </w:rPr>
        <w:t>变更设计内容如涉及调整建设工程规划设计方案的，应按新建住宅小区建设工程规划方案调整程序处理。变更设计不得有涉及降低国家有关建设标准规范要求的内容。</w:t>
      </w:r>
    </w:p>
    <w:p w:rsidR="00D10AFC" w:rsidRDefault="00D10AFC">
      <w:pPr>
        <w:pStyle w:val="NormalWeb"/>
        <w:spacing w:before="0" w:beforeAutospacing="0" w:after="0" w:afterAutospacing="0" w:line="560" w:lineRule="exact"/>
        <w:ind w:firstLine="652"/>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第二十条</w:t>
      </w:r>
      <w:r>
        <w:rPr>
          <w:rFonts w:ascii="仿宋_GB2312" w:eastAsia="仿宋_GB2312"/>
          <w:color w:val="000000"/>
          <w:sz w:val="32"/>
          <w:szCs w:val="32"/>
        </w:rPr>
        <w:t xml:space="preserve"> </w:t>
      </w:r>
      <w:r>
        <w:rPr>
          <w:rFonts w:ascii="仿宋_GB2312" w:eastAsia="仿宋_GB2312" w:hint="eastAsia"/>
          <w:color w:val="000000"/>
          <w:sz w:val="32"/>
          <w:szCs w:val="32"/>
        </w:rPr>
        <w:t>对分期开发的新建住宅小区项目，配建的社区居家养老服务用房应安排在首期，且不得拆分。</w:t>
      </w:r>
    </w:p>
    <w:p w:rsidR="00D10AFC" w:rsidRDefault="00D10AFC">
      <w:pPr>
        <w:pStyle w:val="NormalWeb"/>
        <w:spacing w:before="0" w:beforeAutospacing="0" w:after="0" w:afterAutospacing="0" w:line="560" w:lineRule="exact"/>
        <w:ind w:firstLine="652"/>
        <w:jc w:val="both"/>
        <w:rPr>
          <w:rFonts w:ascii="仿宋_GB2312" w:eastAsia="仿宋_GB2312"/>
          <w:color w:val="000000"/>
          <w:sz w:val="32"/>
          <w:szCs w:val="32"/>
        </w:rPr>
      </w:pPr>
      <w:r>
        <w:rPr>
          <w:rFonts w:ascii="仿宋_GB2312" w:eastAsia="仿宋_GB2312" w:hint="eastAsia"/>
          <w:color w:val="000000"/>
          <w:sz w:val="32"/>
          <w:szCs w:val="32"/>
        </w:rPr>
        <w:t>确实无法安排在首期的项目，配建的社区居家养老服务用房和社区管理服务用房必须在住宅总规模完成</w:t>
      </w:r>
      <w:r>
        <w:rPr>
          <w:rFonts w:ascii="仿宋_GB2312" w:eastAsia="仿宋_GB2312"/>
          <w:color w:val="000000"/>
          <w:sz w:val="32"/>
          <w:szCs w:val="32"/>
        </w:rPr>
        <w:t>50%</w:t>
      </w:r>
      <w:r>
        <w:rPr>
          <w:rFonts w:ascii="仿宋_GB2312" w:eastAsia="仿宋_GB2312" w:hint="eastAsia"/>
          <w:color w:val="000000"/>
          <w:sz w:val="32"/>
          <w:szCs w:val="32"/>
        </w:rPr>
        <w:t>之前同步建设完成。</w:t>
      </w:r>
    </w:p>
    <w:p w:rsidR="00D10AFC" w:rsidRDefault="00D10AFC">
      <w:pPr>
        <w:pStyle w:val="NormalWeb"/>
        <w:spacing w:before="0" w:beforeAutospacing="0" w:after="0" w:afterAutospacing="0" w:line="560" w:lineRule="exact"/>
        <w:ind w:firstLine="652"/>
        <w:jc w:val="both"/>
        <w:rPr>
          <w:rFonts w:ascii="仿宋_GB2312" w:eastAsia="仿宋_GB2312"/>
          <w:color w:val="000000"/>
          <w:sz w:val="32"/>
          <w:szCs w:val="32"/>
        </w:rPr>
      </w:pPr>
    </w:p>
    <w:p w:rsidR="00D10AFC" w:rsidRDefault="00D10AFC">
      <w:pPr>
        <w:pStyle w:val="NormalWeb"/>
        <w:spacing w:before="0" w:beforeAutospacing="0" w:after="0" w:afterAutospacing="0" w:line="560" w:lineRule="exact"/>
        <w:jc w:val="center"/>
        <w:rPr>
          <w:rStyle w:val="Strong"/>
          <w:rFonts w:ascii="楷体" w:eastAsia="楷体" w:hAnsi="楷体" w:cs="楷体"/>
          <w:color w:val="000000"/>
          <w:sz w:val="32"/>
          <w:szCs w:val="32"/>
        </w:rPr>
      </w:pPr>
      <w:r>
        <w:rPr>
          <w:rFonts w:ascii="黑体" w:eastAsia="黑体" w:hAnsi="黑体" w:cs="黑体" w:hint="eastAsia"/>
          <w:color w:val="000000"/>
          <w:sz w:val="32"/>
          <w:szCs w:val="32"/>
        </w:rPr>
        <w:t>第五章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同步竣工验收</w:t>
      </w:r>
    </w:p>
    <w:p w:rsidR="00D10AFC" w:rsidRDefault="00D10AFC" w:rsidP="00D4119E">
      <w:pPr>
        <w:pStyle w:val="NormalWeb"/>
        <w:spacing w:before="0" w:beforeAutospacing="0" w:after="0" w:afterAutospacing="0" w:line="560" w:lineRule="exact"/>
        <w:ind w:firstLineChars="200" w:firstLine="31680"/>
        <w:jc w:val="both"/>
        <w:rPr>
          <w:rStyle w:val="Strong"/>
          <w:rFonts w:ascii="黑体" w:eastAsia="黑体" w:hAnsi="黑体" w:cs="黑体"/>
          <w:b w:val="0"/>
          <w:bCs w:val="0"/>
          <w:color w:val="000000"/>
          <w:sz w:val="32"/>
          <w:szCs w:val="32"/>
        </w:rPr>
      </w:pP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第二十一条</w:t>
      </w:r>
      <w:r>
        <w:rPr>
          <w:rStyle w:val="Strong"/>
          <w:rFonts w:ascii="楷体" w:eastAsia="楷体" w:hAnsi="楷体" w:cs="楷体"/>
          <w:color w:val="000000"/>
          <w:sz w:val="32"/>
          <w:szCs w:val="32"/>
        </w:rPr>
        <w:t xml:space="preserve"> </w:t>
      </w:r>
      <w:r>
        <w:rPr>
          <w:rFonts w:ascii="仿宋_GB2312" w:eastAsia="仿宋_GB2312" w:hint="eastAsia"/>
          <w:color w:val="000000"/>
          <w:sz w:val="32"/>
          <w:szCs w:val="32"/>
        </w:rPr>
        <w:t>新建住宅小区配套社区居家养老服务用房应严格按照设计文件实施，墙体四白落地，水泥地面平整，门窗、厕所、水电气、无障碍等设施齐全，达到简单装修即可使用的标准。</w:t>
      </w:r>
    </w:p>
    <w:p w:rsidR="00D10AFC" w:rsidRDefault="00D10AFC">
      <w:pPr>
        <w:pStyle w:val="NormalWeb"/>
        <w:spacing w:before="0" w:beforeAutospacing="0" w:after="0" w:afterAutospacing="0" w:line="560" w:lineRule="exact"/>
        <w:ind w:firstLine="665"/>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第二十二条</w:t>
      </w:r>
      <w:r>
        <w:rPr>
          <w:rFonts w:ascii="仿宋_GB2312" w:eastAsia="仿宋_GB2312"/>
          <w:color w:val="000000"/>
          <w:sz w:val="32"/>
          <w:szCs w:val="32"/>
        </w:rPr>
        <w:t xml:space="preserve"> </w:t>
      </w:r>
      <w:r>
        <w:rPr>
          <w:rFonts w:ascii="仿宋_GB2312" w:eastAsia="仿宋_GB2312" w:hint="eastAsia"/>
          <w:color w:val="000000"/>
          <w:sz w:val="32"/>
          <w:szCs w:val="32"/>
        </w:rPr>
        <w:t>规自部门应当对养老服务用房的配置情况进行规划核实，对存在配建养老服务用房缓建、缩建、停建、不建等问题的，在整改到位之前不得组织竣工验收。</w:t>
      </w:r>
    </w:p>
    <w:p w:rsidR="00D10AFC" w:rsidRDefault="00D10AFC">
      <w:pPr>
        <w:pStyle w:val="NormalWeb"/>
        <w:spacing w:before="0" w:beforeAutospacing="0" w:after="0" w:afterAutospacing="0" w:line="560" w:lineRule="exact"/>
        <w:jc w:val="center"/>
        <w:rPr>
          <w:rStyle w:val="Strong"/>
          <w:rFonts w:ascii="黑体" w:eastAsia="黑体" w:hAnsi="黑体" w:cs="黑体"/>
          <w:b w:val="0"/>
          <w:bCs w:val="0"/>
          <w:color w:val="000000"/>
          <w:sz w:val="32"/>
          <w:szCs w:val="32"/>
        </w:rPr>
      </w:pPr>
    </w:p>
    <w:p w:rsidR="00D10AFC" w:rsidRDefault="00D10AFC">
      <w:pPr>
        <w:pStyle w:val="NormalWeb"/>
        <w:spacing w:before="0" w:beforeAutospacing="0" w:after="0" w:afterAutospacing="0" w:line="560" w:lineRule="exact"/>
        <w:jc w:val="center"/>
        <w:rPr>
          <w:rStyle w:val="Strong"/>
          <w:rFonts w:ascii="黑体" w:eastAsia="黑体" w:hAnsi="黑体" w:cs="黑体"/>
          <w:b w:val="0"/>
          <w:bCs w:val="0"/>
          <w:color w:val="000000"/>
          <w:sz w:val="32"/>
          <w:szCs w:val="32"/>
        </w:rPr>
      </w:pPr>
      <w:r>
        <w:rPr>
          <w:rStyle w:val="Strong"/>
          <w:rFonts w:ascii="黑体" w:eastAsia="黑体" w:hAnsi="黑体" w:cs="黑体" w:hint="eastAsia"/>
          <w:b w:val="0"/>
          <w:bCs w:val="0"/>
          <w:color w:val="000000"/>
          <w:sz w:val="32"/>
          <w:szCs w:val="32"/>
        </w:rPr>
        <w:t>第六章</w:t>
      </w:r>
      <w:r>
        <w:rPr>
          <w:rStyle w:val="Strong"/>
          <w:rFonts w:ascii="黑体" w:eastAsia="黑体" w:hAnsi="黑体" w:cs="黑体"/>
          <w:b w:val="0"/>
          <w:bCs w:val="0"/>
          <w:color w:val="000000"/>
          <w:sz w:val="32"/>
          <w:szCs w:val="32"/>
        </w:rPr>
        <w:t xml:space="preserve"> </w:t>
      </w:r>
      <w:r>
        <w:rPr>
          <w:rStyle w:val="Strong"/>
          <w:rFonts w:ascii="黑体" w:eastAsia="黑体" w:hAnsi="黑体" w:cs="黑体" w:hint="eastAsia"/>
          <w:b w:val="0"/>
          <w:bCs w:val="0"/>
          <w:color w:val="000000"/>
          <w:sz w:val="32"/>
          <w:szCs w:val="32"/>
        </w:rPr>
        <w:t>同步无偿移交</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Fonts w:ascii="仿宋_GB2312" w:eastAsia="仿宋_GB2312"/>
          <w:color w:val="000000"/>
          <w:sz w:val="32"/>
          <w:szCs w:val="32"/>
        </w:rPr>
        <w:t xml:space="preserve"> </w:t>
      </w:r>
    </w:p>
    <w:p w:rsidR="00D10AFC" w:rsidRDefault="00D10AFC" w:rsidP="00D4119E">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Fonts w:ascii="黑体" w:eastAsia="黑体" w:hAnsi="黑体" w:cs="黑体" w:hint="eastAsia"/>
          <w:color w:val="000000"/>
          <w:sz w:val="32"/>
          <w:szCs w:val="32"/>
        </w:rPr>
        <w:t>第二十三条</w:t>
      </w:r>
      <w:r>
        <w:rPr>
          <w:rStyle w:val="Strong"/>
          <w:rFonts w:ascii="楷体" w:eastAsia="楷体" w:hAnsi="楷体" w:cs="楷体"/>
          <w:color w:val="000000"/>
          <w:sz w:val="32"/>
          <w:szCs w:val="32"/>
        </w:rPr>
        <w:t xml:space="preserve"> </w:t>
      </w:r>
      <w:r>
        <w:rPr>
          <w:rFonts w:ascii="仿宋_GB2312" w:eastAsia="仿宋_GB2312" w:hint="eastAsia"/>
          <w:color w:val="000000"/>
          <w:sz w:val="32"/>
          <w:szCs w:val="32"/>
        </w:rPr>
        <w:t>项目建设单位取得新建住宅小区验收合格意见后，应按《国有建设用地使用权出让合同》组成部分的规划条件约定向项目所在地街道办事处</w:t>
      </w:r>
      <w:r>
        <w:rPr>
          <w:rFonts w:ascii="仿宋_GB2312" w:eastAsia="仿宋_GB2312"/>
          <w:color w:val="000000"/>
          <w:sz w:val="32"/>
          <w:szCs w:val="32"/>
        </w:rPr>
        <w:t>(</w:t>
      </w:r>
      <w:r>
        <w:rPr>
          <w:rFonts w:ascii="仿宋_GB2312" w:eastAsia="仿宋_GB2312" w:hint="eastAsia"/>
          <w:color w:val="000000"/>
          <w:sz w:val="32"/>
          <w:szCs w:val="32"/>
        </w:rPr>
        <w:t>乡、镇</w:t>
      </w:r>
      <w:r>
        <w:rPr>
          <w:rFonts w:ascii="仿宋_GB2312" w:eastAsia="仿宋_GB2312"/>
          <w:color w:val="000000"/>
          <w:sz w:val="32"/>
          <w:szCs w:val="32"/>
        </w:rPr>
        <w:t>)</w:t>
      </w:r>
      <w:r>
        <w:rPr>
          <w:rFonts w:ascii="仿宋_GB2312" w:eastAsia="仿宋_GB2312" w:hint="eastAsia"/>
          <w:color w:val="000000"/>
          <w:sz w:val="32"/>
          <w:szCs w:val="32"/>
        </w:rPr>
        <w:t>办理移交手续，签订《社区居家养老服务用房移交协议书》，并于</w:t>
      </w:r>
      <w:r>
        <w:rPr>
          <w:rFonts w:ascii="仿宋_GB2312" w:eastAsia="仿宋_GB2312"/>
          <w:color w:val="000000"/>
          <w:sz w:val="32"/>
          <w:szCs w:val="32"/>
        </w:rPr>
        <w:t>60</w:t>
      </w:r>
      <w:r>
        <w:rPr>
          <w:rFonts w:ascii="仿宋_GB2312" w:eastAsia="仿宋_GB2312" w:hint="eastAsia"/>
          <w:color w:val="000000"/>
          <w:sz w:val="32"/>
          <w:szCs w:val="32"/>
        </w:rPr>
        <w:t>日内完成移交工作。</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第二十四条</w:t>
      </w:r>
      <w:r>
        <w:rPr>
          <w:rStyle w:val="Strong"/>
          <w:rFonts w:ascii="黑体" w:eastAsia="黑体" w:hAnsi="黑体" w:cs="黑体"/>
          <w:b w:val="0"/>
          <w:bCs w:val="0"/>
          <w:color w:val="000000"/>
          <w:sz w:val="32"/>
          <w:szCs w:val="32"/>
        </w:rPr>
        <w:t xml:space="preserve"> </w:t>
      </w:r>
      <w:r>
        <w:rPr>
          <w:rFonts w:ascii="仿宋_GB2312" w:eastAsia="仿宋_GB2312" w:hint="eastAsia"/>
          <w:color w:val="000000"/>
          <w:sz w:val="32"/>
          <w:szCs w:val="32"/>
        </w:rPr>
        <w:t>新建住宅小区配建社区居家养老服务用房权属归项目所在区政府（管委会）所有，由区政府机关事务管理部门负责办理不动产登记，区民政部门代为管理。</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新建住宅小区开发建设单位申请办理不动产首次登记时，开发建设单位应与项目所在地区机关事务管理局持移交协议和不动产登记规定的其他材料，共同申请社区居家养老服务用房的首次登记。不动产登记机构按照首次登记的规定，分别予以办理。社区居家养老服务用房的房屋用途登记为“社区居家养老服务用房”。</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highlight w:val="yellow"/>
        </w:rPr>
      </w:pPr>
      <w:r>
        <w:rPr>
          <w:rFonts w:ascii="黑体" w:eastAsia="黑体" w:hAnsi="黑体" w:cs="黑体" w:hint="eastAsia"/>
          <w:color w:val="000000"/>
          <w:sz w:val="32"/>
          <w:szCs w:val="32"/>
        </w:rPr>
        <w:t>第二十五条</w:t>
      </w:r>
      <w:r>
        <w:rPr>
          <w:rFonts w:ascii="黑体" w:eastAsia="黑体" w:hAnsi="黑体" w:cs="黑体"/>
          <w:color w:val="000000"/>
          <w:sz w:val="32"/>
          <w:szCs w:val="32"/>
        </w:rPr>
        <w:t xml:space="preserve"> </w:t>
      </w:r>
      <w:r>
        <w:rPr>
          <w:rFonts w:ascii="仿宋_GB2312" w:eastAsia="仿宋_GB2312" w:hint="eastAsia"/>
          <w:color w:val="000000"/>
          <w:sz w:val="32"/>
          <w:szCs w:val="32"/>
        </w:rPr>
        <w:t>房地产测绘机构应当对社区居家养老服务用房用地单独测量，按照相关规定计算面积，其面积不计入分摊的共用面积，并在出具的报告中信息标注。</w:t>
      </w:r>
    </w:p>
    <w:p w:rsidR="00D10AFC" w:rsidRDefault="00D10AFC">
      <w:pPr>
        <w:pStyle w:val="NormalWeb"/>
        <w:spacing w:before="0" w:beforeAutospacing="0" w:after="0" w:afterAutospacing="0" w:line="560" w:lineRule="exact"/>
        <w:jc w:val="center"/>
        <w:rPr>
          <w:rStyle w:val="Strong"/>
          <w:rFonts w:ascii="黑体" w:eastAsia="黑体" w:hAnsi="黑体" w:cs="黑体"/>
          <w:b w:val="0"/>
          <w:bCs w:val="0"/>
          <w:color w:val="000000"/>
          <w:sz w:val="32"/>
          <w:szCs w:val="32"/>
        </w:rPr>
      </w:pPr>
    </w:p>
    <w:p w:rsidR="00D10AFC" w:rsidRDefault="00D10AFC">
      <w:pPr>
        <w:pStyle w:val="NormalWeb"/>
        <w:numPr>
          <w:ilvl w:val="0"/>
          <w:numId w:val="1"/>
        </w:numPr>
        <w:spacing w:before="0" w:beforeAutospacing="0" w:after="0" w:afterAutospacing="0" w:line="560" w:lineRule="exact"/>
        <w:jc w:val="center"/>
        <w:rPr>
          <w:rStyle w:val="Strong"/>
          <w:rFonts w:ascii="黑体" w:eastAsia="黑体" w:hAnsi="黑体" w:cs="黑体"/>
          <w:b w:val="0"/>
          <w:bCs w:val="0"/>
          <w:color w:val="000000"/>
          <w:sz w:val="32"/>
          <w:szCs w:val="32"/>
        </w:rPr>
      </w:pPr>
      <w:r>
        <w:rPr>
          <w:rStyle w:val="Strong"/>
          <w:rFonts w:ascii="黑体" w:eastAsia="黑体" w:hAnsi="黑体" w:cs="黑体" w:hint="eastAsia"/>
          <w:b w:val="0"/>
          <w:bCs w:val="0"/>
          <w:color w:val="000000"/>
          <w:sz w:val="32"/>
          <w:szCs w:val="32"/>
        </w:rPr>
        <w:t>运营管理</w:t>
      </w:r>
    </w:p>
    <w:p w:rsidR="00D10AFC" w:rsidRDefault="00D10AFC">
      <w:pPr>
        <w:pStyle w:val="NormalWeb"/>
        <w:spacing w:before="0" w:beforeAutospacing="0" w:after="0" w:afterAutospacing="0" w:line="560" w:lineRule="exact"/>
        <w:jc w:val="both"/>
        <w:rPr>
          <w:rStyle w:val="Strong"/>
          <w:rFonts w:ascii="黑体" w:eastAsia="黑体" w:hAnsi="黑体" w:cs="黑体"/>
          <w:b w:val="0"/>
          <w:bCs w:val="0"/>
          <w:color w:val="000000"/>
          <w:sz w:val="32"/>
          <w:szCs w:val="32"/>
        </w:rPr>
      </w:pPr>
    </w:p>
    <w:p w:rsidR="00D10AFC" w:rsidRDefault="00D10AFC" w:rsidP="00D4119E">
      <w:pPr>
        <w:adjustRightInd w:val="0"/>
        <w:snapToGrid w:val="0"/>
        <w:spacing w:line="560" w:lineRule="exact"/>
        <w:ind w:firstLineChars="200" w:firstLine="31680"/>
        <w:rPr>
          <w:rFonts w:eastAsia="仿宋_GB2312"/>
          <w:bCs/>
          <w:color w:val="000000"/>
          <w:sz w:val="32"/>
          <w:szCs w:val="32"/>
        </w:rPr>
      </w:pPr>
      <w:r>
        <w:rPr>
          <w:rStyle w:val="Strong"/>
          <w:rFonts w:ascii="黑体" w:eastAsia="黑体" w:hAnsi="黑体" w:cs="黑体" w:hint="eastAsia"/>
          <w:b w:val="0"/>
          <w:bCs w:val="0"/>
          <w:color w:val="000000"/>
          <w:sz w:val="32"/>
          <w:szCs w:val="32"/>
        </w:rPr>
        <w:t>第二十六条</w:t>
      </w:r>
      <w:r>
        <w:rPr>
          <w:rFonts w:ascii="仿宋_GB2312" w:eastAsia="仿宋_GB2312"/>
          <w:color w:val="000000"/>
          <w:sz w:val="32"/>
          <w:szCs w:val="32"/>
        </w:rPr>
        <w:t xml:space="preserve"> </w:t>
      </w:r>
      <w:r>
        <w:rPr>
          <w:rFonts w:ascii="仿宋_GB2312" w:eastAsia="仿宋_GB2312" w:hint="eastAsia"/>
          <w:color w:val="000000"/>
          <w:sz w:val="32"/>
          <w:szCs w:val="32"/>
        </w:rPr>
        <w:t>新建住宅小区配建社区居家养老服务用房在保证公共服务性质的基础上，</w:t>
      </w:r>
      <w:r>
        <w:rPr>
          <w:rFonts w:eastAsia="仿宋_GB2312" w:hint="eastAsia"/>
          <w:bCs/>
          <w:color w:val="000000"/>
          <w:sz w:val="32"/>
          <w:szCs w:val="32"/>
        </w:rPr>
        <w:t>实施</w:t>
      </w:r>
      <w:r>
        <w:rPr>
          <w:rFonts w:eastAsia="仿宋_GB2312"/>
          <w:bCs/>
          <w:color w:val="000000"/>
          <w:sz w:val="32"/>
          <w:szCs w:val="32"/>
        </w:rPr>
        <w:t>“</w:t>
      </w:r>
      <w:r>
        <w:rPr>
          <w:rFonts w:eastAsia="仿宋_GB2312" w:hint="eastAsia"/>
          <w:bCs/>
          <w:color w:val="000000"/>
          <w:sz w:val="32"/>
          <w:szCs w:val="32"/>
        </w:rPr>
        <w:t>公建民营</w:t>
      </w:r>
      <w:r>
        <w:rPr>
          <w:rFonts w:eastAsia="仿宋_GB2312"/>
          <w:bCs/>
          <w:color w:val="000000"/>
          <w:sz w:val="32"/>
          <w:szCs w:val="32"/>
        </w:rPr>
        <w:t>”</w:t>
      </w:r>
      <w:r>
        <w:rPr>
          <w:rFonts w:eastAsia="仿宋_GB2312" w:hint="eastAsia"/>
          <w:bCs/>
          <w:color w:val="000000"/>
          <w:sz w:val="32"/>
          <w:szCs w:val="32"/>
        </w:rPr>
        <w:t>，</w:t>
      </w:r>
      <w:r>
        <w:rPr>
          <w:rFonts w:ascii="仿宋_GB2312" w:eastAsia="仿宋_GB2312" w:hint="eastAsia"/>
          <w:color w:val="000000"/>
          <w:sz w:val="32"/>
          <w:szCs w:val="32"/>
        </w:rPr>
        <w:t>打破单纯以价格为主的筛选标准，综合从业信誉、服务水平、可持续性等质量指标</w:t>
      </w:r>
      <w:r>
        <w:rPr>
          <w:rFonts w:eastAsia="仿宋_GB2312" w:hint="eastAsia"/>
          <w:bCs/>
          <w:color w:val="000000"/>
          <w:sz w:val="32"/>
          <w:szCs w:val="32"/>
        </w:rPr>
        <w:t>，</w:t>
      </w:r>
      <w:r>
        <w:rPr>
          <w:rFonts w:ascii="仿宋_GB2312" w:eastAsia="仿宋_GB2312" w:hint="eastAsia"/>
          <w:color w:val="000000"/>
          <w:sz w:val="32"/>
          <w:szCs w:val="32"/>
        </w:rPr>
        <w:t>引导养老运营机构早期介入、全程参与项目工程建设，</w:t>
      </w:r>
      <w:r>
        <w:rPr>
          <w:rFonts w:eastAsia="仿宋_GB2312" w:hint="eastAsia"/>
          <w:bCs/>
          <w:color w:val="000000"/>
          <w:sz w:val="32"/>
          <w:szCs w:val="32"/>
        </w:rPr>
        <w:t>根据实际无偿提供给有一定资质的企业、社会组织使用，进行社会化运营，保证服务质量和效益。</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第二十七条</w:t>
      </w:r>
      <w:r>
        <w:rPr>
          <w:rFonts w:ascii="仿宋_GB2312" w:eastAsia="仿宋_GB2312"/>
          <w:color w:val="000000"/>
          <w:sz w:val="32"/>
          <w:szCs w:val="32"/>
        </w:rPr>
        <w:t xml:space="preserve"> </w:t>
      </w:r>
      <w:r>
        <w:rPr>
          <w:rFonts w:ascii="仿宋_GB2312" w:eastAsia="仿宋_GB2312" w:hint="eastAsia"/>
          <w:color w:val="000000"/>
          <w:sz w:val="32"/>
          <w:szCs w:val="32"/>
        </w:rPr>
        <w:t>社区居家养老服务用房不得转让、抵押、挪作他用，任何单位和个人不得占用或者改作他用，否则由项目所在地区级民政部门责令限期改正，对拒不改正的收回社区居家养老服务用房，终止相关协议，并追究相关责任人责任。</w:t>
      </w: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第八章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监督检查</w:t>
      </w:r>
    </w:p>
    <w:p w:rsidR="00D10AFC" w:rsidRDefault="00D10AFC">
      <w:pPr>
        <w:pStyle w:val="NormalWeb"/>
        <w:spacing w:before="0" w:beforeAutospacing="0" w:after="0" w:afterAutospacing="0" w:line="560" w:lineRule="exact"/>
        <w:jc w:val="both"/>
        <w:rPr>
          <w:rFonts w:ascii="黑体" w:eastAsia="黑体" w:hAnsi="黑体" w:cs="黑体"/>
          <w:color w:val="000000"/>
          <w:sz w:val="32"/>
          <w:szCs w:val="32"/>
        </w:rPr>
      </w:pP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第二十八条</w:t>
      </w:r>
      <w:r>
        <w:rPr>
          <w:rFonts w:ascii="黑体" w:eastAsia="黑体" w:hAnsi="黑体" w:cs="黑体"/>
          <w:color w:val="000000"/>
          <w:sz w:val="32"/>
          <w:szCs w:val="32"/>
        </w:rPr>
        <w:t xml:space="preserve"> </w:t>
      </w:r>
      <w:r>
        <w:rPr>
          <w:rFonts w:ascii="仿宋_GB2312" w:eastAsia="仿宋_GB2312" w:hint="eastAsia"/>
          <w:color w:val="000000"/>
          <w:sz w:val="32"/>
          <w:szCs w:val="32"/>
        </w:rPr>
        <w:t>开发建设单位未配建社区居家养老服务用房或配建用房不符合要求的，应当进行置换。由所在地街道办事处（乡、镇）会同民政、规自、住建、国有资产管理部门聘请第三方组织对用房价值进行评估，置换本小区其他房屋，置换后的面积不应小于原应配建面积，且置换房屋应当符合本办法关于规划布局的相关要求。</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按照第六条规定标准，配建用房总面积低于</w:t>
      </w:r>
      <w:r>
        <w:rPr>
          <w:rFonts w:ascii="仿宋_GB2312" w:eastAsia="仿宋_GB2312"/>
          <w:color w:val="000000"/>
          <w:sz w:val="32"/>
          <w:szCs w:val="32"/>
        </w:rPr>
        <w:t>300</w:t>
      </w:r>
      <w:r>
        <w:rPr>
          <w:rFonts w:ascii="仿宋_GB2312" w:eastAsia="仿宋_GB2312" w:hint="eastAsia"/>
          <w:color w:val="000000"/>
          <w:sz w:val="32"/>
          <w:szCs w:val="32"/>
        </w:rPr>
        <w:t>平方米的，应当由所在地街道办事处（乡、镇）会同民政、规自、住建、国有资产管理部门聘请第三方组织对用房价值进行评估，折价交项目所在区政府（管委会）统一购置符合标准的配建用房。</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黑体" w:eastAsia="黑体" w:hAnsi="黑体" w:cs="黑体" w:hint="eastAsia"/>
          <w:color w:val="000000"/>
          <w:sz w:val="32"/>
          <w:szCs w:val="32"/>
        </w:rPr>
        <w:t>第二十九条</w:t>
      </w:r>
      <w:r>
        <w:rPr>
          <w:rFonts w:ascii="黑体" w:eastAsia="黑体" w:hAnsi="黑体" w:cs="黑体"/>
          <w:color w:val="000000"/>
          <w:sz w:val="32"/>
          <w:szCs w:val="32"/>
        </w:rPr>
        <w:t xml:space="preserve"> </w:t>
      </w:r>
      <w:r>
        <w:rPr>
          <w:rFonts w:ascii="仿宋_GB2312" w:eastAsia="仿宋_GB2312" w:hint="eastAsia"/>
          <w:color w:val="000000"/>
          <w:sz w:val="32"/>
          <w:szCs w:val="32"/>
        </w:rPr>
        <w:t>各区民政、规自、住建等部门要加强对住宅小区配建社区居家养老服务用房的规划、设计、建设、验收、移交、使用工作的</w:t>
      </w:r>
      <w:r>
        <w:rPr>
          <w:rFonts w:ascii="仿宋" w:eastAsia="仿宋" w:hAnsi="仿宋" w:cs="仿宋" w:hint="eastAsia"/>
          <w:color w:val="000000"/>
          <w:sz w:val="32"/>
          <w:szCs w:val="32"/>
          <w:shd w:val="clear" w:color="auto" w:fill="FFFFFF"/>
        </w:rPr>
        <w:t>监督检查</w:t>
      </w:r>
      <w:r>
        <w:rPr>
          <w:rFonts w:ascii="仿宋_GB2312" w:eastAsia="仿宋_GB2312" w:hint="eastAsia"/>
          <w:color w:val="000000"/>
          <w:sz w:val="32"/>
          <w:szCs w:val="32"/>
        </w:rPr>
        <w:t>，</w:t>
      </w:r>
      <w:r>
        <w:rPr>
          <w:rFonts w:ascii="仿宋" w:eastAsia="仿宋" w:hAnsi="仿宋" w:cs="仿宋" w:hint="eastAsia"/>
          <w:color w:val="000000"/>
          <w:sz w:val="32"/>
          <w:szCs w:val="32"/>
          <w:shd w:val="clear" w:color="auto" w:fill="FFFFFF"/>
        </w:rPr>
        <w:t>每年至少联合开展一次新建住宅小区配建居家养老服务设施落实情况专项督导。</w:t>
      </w:r>
      <w:r>
        <w:rPr>
          <w:rFonts w:ascii="仿宋_GB2312" w:eastAsia="仿宋_GB2312" w:hint="eastAsia"/>
          <w:color w:val="000000"/>
          <w:sz w:val="32"/>
          <w:szCs w:val="32"/>
        </w:rPr>
        <w:t>及时监管并依法处理不按规划条件确定的标准和要求配建社区居家养老服务用房、不履行有关无偿移交配建用房约定、不按有关技术规范规划、设计和建设配建用房等违法、违规行为。</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仿宋_GB2312" w:eastAsia="仿宋_GB2312" w:hint="eastAsia"/>
          <w:color w:val="000000"/>
          <w:sz w:val="32"/>
          <w:szCs w:val="32"/>
        </w:rPr>
        <w:t>要建立年度定期报备制度，每年</w:t>
      </w:r>
      <w:r>
        <w:rPr>
          <w:rFonts w:ascii="仿宋_GB2312" w:eastAsia="仿宋_GB2312"/>
          <w:color w:val="000000"/>
          <w:sz w:val="32"/>
          <w:szCs w:val="32"/>
        </w:rPr>
        <w:t>9</w:t>
      </w:r>
      <w:r>
        <w:rPr>
          <w:rFonts w:ascii="仿宋_GB2312" w:eastAsia="仿宋_GB2312" w:hint="eastAsia"/>
          <w:color w:val="000000"/>
          <w:sz w:val="32"/>
          <w:szCs w:val="32"/>
        </w:rPr>
        <w:t>月底由区民政部门牵头将本辖区工作开展情况报送市级相关部门。</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r>
        <w:rPr>
          <w:rFonts w:ascii="黑体" w:eastAsia="黑体" w:hAnsi="黑体" w:cs="黑体" w:hint="eastAsia"/>
          <w:color w:val="000000"/>
          <w:sz w:val="32"/>
          <w:szCs w:val="32"/>
        </w:rPr>
        <w:t>第三十条</w:t>
      </w:r>
      <w:r>
        <w:rPr>
          <w:rFonts w:ascii="仿宋_GB2312" w:eastAsia="仿宋_GB2312"/>
          <w:color w:val="000000"/>
          <w:sz w:val="32"/>
          <w:szCs w:val="32"/>
        </w:rPr>
        <w:t xml:space="preserve"> </w:t>
      </w:r>
      <w:r>
        <w:rPr>
          <w:rFonts w:ascii="仿宋_GB2312" w:eastAsia="仿宋_GB2312" w:hint="eastAsia"/>
          <w:color w:val="000000"/>
          <w:sz w:val="32"/>
          <w:szCs w:val="32"/>
        </w:rPr>
        <w:t>开发建设单位未按照规定配建移交社区居家养老服务用房的，规自和房管部门根据职责计入企业信用信息，做好企业信用档案管理和发布，做到守信激励，失信惩戒。</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p>
    <w:p w:rsidR="00D10AFC" w:rsidRDefault="00D10AFC">
      <w:pPr>
        <w:pStyle w:val="NormalWeb"/>
        <w:spacing w:before="0" w:beforeAutospacing="0" w:after="0" w:afterAutospacing="0" w:line="560" w:lineRule="exact"/>
        <w:jc w:val="center"/>
        <w:rPr>
          <w:rFonts w:ascii="黑体" w:eastAsia="黑体" w:hAnsi="黑体" w:cs="黑体"/>
          <w:color w:val="000000"/>
          <w:sz w:val="32"/>
          <w:szCs w:val="32"/>
        </w:rPr>
      </w:pPr>
      <w:r>
        <w:rPr>
          <w:rFonts w:ascii="黑体" w:eastAsia="黑体" w:hAnsi="黑体" w:cs="黑体" w:hint="eastAsia"/>
          <w:color w:val="000000"/>
          <w:sz w:val="32"/>
          <w:szCs w:val="32"/>
        </w:rPr>
        <w:t>第九章</w:t>
      </w:r>
      <w:r>
        <w:rPr>
          <w:rFonts w:ascii="黑体" w:eastAsia="黑体" w:hAnsi="黑体" w:cs="黑体"/>
          <w:color w:val="000000"/>
          <w:sz w:val="32"/>
          <w:szCs w:val="32"/>
        </w:rPr>
        <w:t xml:space="preserve"> </w:t>
      </w:r>
      <w:r>
        <w:rPr>
          <w:rFonts w:ascii="黑体" w:eastAsia="黑体" w:hAnsi="黑体" w:cs="黑体" w:hint="eastAsia"/>
          <w:color w:val="000000"/>
          <w:sz w:val="32"/>
          <w:szCs w:val="32"/>
        </w:rPr>
        <w:t>附则</w:t>
      </w:r>
    </w:p>
    <w:p w:rsidR="00D10AFC" w:rsidRDefault="00D10AFC">
      <w:pPr>
        <w:pStyle w:val="NormalWeb"/>
        <w:spacing w:before="0" w:beforeAutospacing="0" w:after="0" w:afterAutospacing="0" w:line="560" w:lineRule="exact"/>
        <w:ind w:firstLine="640"/>
        <w:jc w:val="both"/>
        <w:rPr>
          <w:rFonts w:ascii="仿宋_GB2312" w:eastAsia="仿宋_GB2312"/>
          <w:color w:val="000000"/>
          <w:sz w:val="32"/>
          <w:szCs w:val="32"/>
        </w:rPr>
      </w:pPr>
    </w:p>
    <w:p w:rsidR="00D10AFC" w:rsidRDefault="00D10AFC" w:rsidP="00D4119E">
      <w:pPr>
        <w:pStyle w:val="NormalWeb"/>
        <w:spacing w:before="0" w:beforeAutospacing="0" w:after="0" w:afterAutospacing="0" w:line="560" w:lineRule="exact"/>
        <w:ind w:firstLineChars="200" w:firstLine="31680"/>
        <w:jc w:val="both"/>
        <w:rPr>
          <w:rFonts w:ascii="仿宋" w:eastAsia="仿宋" w:hAnsi="仿宋" w:cs="仿宋"/>
          <w:color w:val="000000"/>
          <w:sz w:val="32"/>
          <w:szCs w:val="32"/>
          <w:shd w:val="clear" w:color="auto" w:fill="FFFFFF"/>
        </w:rPr>
      </w:pPr>
      <w:r>
        <w:rPr>
          <w:rStyle w:val="Strong"/>
          <w:rFonts w:ascii="黑体" w:eastAsia="黑体" w:hAnsi="黑体" w:cs="黑体" w:hint="eastAsia"/>
          <w:b w:val="0"/>
          <w:bCs w:val="0"/>
          <w:color w:val="000000"/>
          <w:sz w:val="32"/>
          <w:szCs w:val="32"/>
        </w:rPr>
        <w:t>第三十一条</w:t>
      </w:r>
      <w:r>
        <w:rPr>
          <w:rStyle w:val="Strong"/>
          <w:rFonts w:ascii="黑体" w:eastAsia="黑体" w:hAnsi="黑体" w:cs="黑体"/>
          <w:b w:val="0"/>
          <w:bCs w:val="0"/>
          <w:color w:val="000000"/>
          <w:sz w:val="32"/>
          <w:szCs w:val="32"/>
        </w:rPr>
        <w:t xml:space="preserve"> </w:t>
      </w:r>
      <w:r>
        <w:rPr>
          <w:rFonts w:ascii="仿宋_GB2312" w:eastAsia="仿宋_GB2312" w:hint="eastAsia"/>
          <w:color w:val="000000"/>
          <w:sz w:val="32"/>
          <w:szCs w:val="32"/>
        </w:rPr>
        <w:t>榆树市、农安县、德惠市、公主岭市可以参照本办法执行。</w:t>
      </w:r>
    </w:p>
    <w:p w:rsidR="00D10AFC" w:rsidRDefault="00D10AFC" w:rsidP="00103A1F">
      <w:pPr>
        <w:pStyle w:val="NormalWeb"/>
        <w:spacing w:before="0" w:beforeAutospacing="0" w:after="0" w:afterAutospacing="0" w:line="560" w:lineRule="exact"/>
        <w:ind w:firstLineChars="200" w:firstLine="31680"/>
        <w:jc w:val="both"/>
        <w:rPr>
          <w:rFonts w:ascii="仿宋_GB2312" w:eastAsia="仿宋_GB2312"/>
          <w:color w:val="000000"/>
          <w:sz w:val="32"/>
          <w:szCs w:val="32"/>
        </w:rPr>
      </w:pPr>
      <w:r>
        <w:rPr>
          <w:rStyle w:val="Strong"/>
          <w:rFonts w:ascii="黑体" w:eastAsia="黑体" w:hAnsi="黑体" w:cs="黑体" w:hint="eastAsia"/>
          <w:b w:val="0"/>
          <w:bCs w:val="0"/>
          <w:color w:val="000000"/>
          <w:sz w:val="32"/>
          <w:szCs w:val="32"/>
        </w:rPr>
        <w:t>第三十二条</w:t>
      </w:r>
      <w:r>
        <w:rPr>
          <w:rFonts w:ascii="仿宋_GB2312" w:eastAsia="仿宋_GB2312"/>
          <w:color w:val="000000"/>
          <w:sz w:val="32"/>
          <w:szCs w:val="32"/>
        </w:rPr>
        <w:t xml:space="preserve"> </w:t>
      </w:r>
      <w:r>
        <w:rPr>
          <w:rFonts w:ascii="仿宋_GB2312" w:eastAsia="仿宋_GB2312" w:hint="eastAsia"/>
          <w:color w:val="000000"/>
          <w:sz w:val="32"/>
          <w:szCs w:val="32"/>
        </w:rPr>
        <w:t>本办法自</w:t>
      </w:r>
      <w:r>
        <w:rPr>
          <w:rFonts w:ascii="仿宋_GB2312" w:eastAsia="仿宋_GB2312"/>
          <w:color w:val="000000"/>
          <w:sz w:val="32"/>
          <w:szCs w:val="32"/>
        </w:rPr>
        <w:t>2023</w:t>
      </w:r>
      <w:r>
        <w:rPr>
          <w:rFonts w:ascii="仿宋_GB2312" w:eastAsia="仿宋_GB2312" w:hint="eastAsia"/>
          <w:color w:val="000000"/>
          <w:sz w:val="32"/>
          <w:szCs w:val="32"/>
        </w:rPr>
        <w:t>年</w:t>
      </w:r>
      <w:r>
        <w:rPr>
          <w:rFonts w:ascii="仿宋_GB2312" w:eastAsia="仿宋_GB2312"/>
          <w:color w:val="000000"/>
          <w:sz w:val="32"/>
          <w:szCs w:val="32"/>
        </w:rPr>
        <w:t>1</w:t>
      </w:r>
      <w:r>
        <w:rPr>
          <w:rFonts w:ascii="仿宋_GB2312" w:eastAsia="仿宋_GB2312" w:hint="eastAsia"/>
          <w:color w:val="000000"/>
          <w:sz w:val="32"/>
          <w:szCs w:val="32"/>
        </w:rPr>
        <w:t>月</w:t>
      </w:r>
      <w:r>
        <w:rPr>
          <w:rFonts w:ascii="仿宋_GB2312" w:eastAsia="仿宋_GB2312"/>
          <w:color w:val="000000"/>
          <w:sz w:val="32"/>
          <w:szCs w:val="32"/>
        </w:rPr>
        <w:t>1</w:t>
      </w:r>
      <w:r>
        <w:rPr>
          <w:rFonts w:ascii="仿宋_GB2312" w:eastAsia="仿宋_GB2312" w:hint="eastAsia"/>
          <w:color w:val="000000"/>
          <w:sz w:val="32"/>
          <w:szCs w:val="32"/>
        </w:rPr>
        <w:t>日起施行。</w:t>
      </w:r>
    </w:p>
    <w:sectPr w:rsidR="00D10AF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5DE39"/>
    <w:multiLevelType w:val="singleLevel"/>
    <w:tmpl w:val="67F5DE39"/>
    <w:lvl w:ilvl="0">
      <w:start w:val="7"/>
      <w:numFmt w:val="chineseCounting"/>
      <w:suff w:val="nothing"/>
      <w:lvlText w:val="第%1章　"/>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Tk5MDhhYTViNjQzOWFjMGViNmJjOTZmNzFjNzQ0MjQifQ=="/>
  </w:docVars>
  <w:rsids>
    <w:rsidRoot w:val="50D73039"/>
    <w:rsid w:val="0002295B"/>
    <w:rsid w:val="00103A1F"/>
    <w:rsid w:val="001503F8"/>
    <w:rsid w:val="002447CC"/>
    <w:rsid w:val="0041118F"/>
    <w:rsid w:val="00426C63"/>
    <w:rsid w:val="004936DF"/>
    <w:rsid w:val="00680B14"/>
    <w:rsid w:val="00714137"/>
    <w:rsid w:val="007C0593"/>
    <w:rsid w:val="009C2655"/>
    <w:rsid w:val="009C2ED1"/>
    <w:rsid w:val="00B47973"/>
    <w:rsid w:val="00BD2E4A"/>
    <w:rsid w:val="00C175F2"/>
    <w:rsid w:val="00C76585"/>
    <w:rsid w:val="00D10AFC"/>
    <w:rsid w:val="00D4119E"/>
    <w:rsid w:val="00D461F3"/>
    <w:rsid w:val="00F55AE7"/>
    <w:rsid w:val="00F57EE5"/>
    <w:rsid w:val="03A162E5"/>
    <w:rsid w:val="04C22004"/>
    <w:rsid w:val="06796339"/>
    <w:rsid w:val="0C762243"/>
    <w:rsid w:val="109915FF"/>
    <w:rsid w:val="10E1034F"/>
    <w:rsid w:val="12B00619"/>
    <w:rsid w:val="12E132FB"/>
    <w:rsid w:val="141942CC"/>
    <w:rsid w:val="15697F96"/>
    <w:rsid w:val="168B6CB5"/>
    <w:rsid w:val="16C9249A"/>
    <w:rsid w:val="16ED0036"/>
    <w:rsid w:val="18401850"/>
    <w:rsid w:val="1856738F"/>
    <w:rsid w:val="1EE459ED"/>
    <w:rsid w:val="242D6B34"/>
    <w:rsid w:val="25C01812"/>
    <w:rsid w:val="299E7459"/>
    <w:rsid w:val="2AC070AB"/>
    <w:rsid w:val="2BC012CE"/>
    <w:rsid w:val="2BE47802"/>
    <w:rsid w:val="2E842F7C"/>
    <w:rsid w:val="301D30EA"/>
    <w:rsid w:val="305F7A43"/>
    <w:rsid w:val="307C2B45"/>
    <w:rsid w:val="37C456EC"/>
    <w:rsid w:val="39444DED"/>
    <w:rsid w:val="3A1514CF"/>
    <w:rsid w:val="3C49718B"/>
    <w:rsid w:val="3E726B9D"/>
    <w:rsid w:val="3ED825F7"/>
    <w:rsid w:val="40E85ACC"/>
    <w:rsid w:val="41B948F1"/>
    <w:rsid w:val="42212899"/>
    <w:rsid w:val="491312CF"/>
    <w:rsid w:val="49FB151C"/>
    <w:rsid w:val="4CF0457F"/>
    <w:rsid w:val="4DC339C0"/>
    <w:rsid w:val="4EC110BA"/>
    <w:rsid w:val="50D73039"/>
    <w:rsid w:val="56950CDB"/>
    <w:rsid w:val="576E6688"/>
    <w:rsid w:val="593567F8"/>
    <w:rsid w:val="5CD36FD4"/>
    <w:rsid w:val="5E6C3504"/>
    <w:rsid w:val="62430F8F"/>
    <w:rsid w:val="646E0341"/>
    <w:rsid w:val="656A600E"/>
    <w:rsid w:val="6691356B"/>
    <w:rsid w:val="67D5290B"/>
    <w:rsid w:val="68444162"/>
    <w:rsid w:val="690050B3"/>
    <w:rsid w:val="6C465E36"/>
    <w:rsid w:val="6D2805DC"/>
    <w:rsid w:val="70AD60A2"/>
    <w:rsid w:val="716D52A9"/>
    <w:rsid w:val="723E2A74"/>
    <w:rsid w:val="72552D43"/>
    <w:rsid w:val="726A4788"/>
    <w:rsid w:val="72A91BA0"/>
    <w:rsid w:val="73A00E5C"/>
    <w:rsid w:val="78F61EF0"/>
    <w:rsid w:val="7B491AA8"/>
    <w:rsid w:val="7B99520B"/>
    <w:rsid w:val="7CF16C56"/>
    <w:rsid w:val="7E0120D0"/>
    <w:rsid w:val="7E524105"/>
    <w:rsid w:val="7FCE2F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03F8"/>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503F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503F8"/>
    <w:rPr>
      <w:rFonts w:cs="Times New Roman"/>
      <w:kern w:val="2"/>
      <w:sz w:val="18"/>
      <w:szCs w:val="18"/>
    </w:rPr>
  </w:style>
  <w:style w:type="paragraph" w:styleId="Header">
    <w:name w:val="header"/>
    <w:basedOn w:val="Normal"/>
    <w:link w:val="HeaderChar"/>
    <w:uiPriority w:val="99"/>
    <w:rsid w:val="001503F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503F8"/>
    <w:rPr>
      <w:rFonts w:cs="Times New Roman"/>
      <w:kern w:val="2"/>
      <w:sz w:val="18"/>
      <w:szCs w:val="18"/>
    </w:rPr>
  </w:style>
  <w:style w:type="paragraph" w:styleId="NormalWeb">
    <w:name w:val="Normal (Web)"/>
    <w:basedOn w:val="Normal"/>
    <w:uiPriority w:val="99"/>
    <w:rsid w:val="001503F8"/>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rsid w:val="001503F8"/>
    <w:rPr>
      <w:rFonts w:cs="Times New Roman"/>
      <w:b/>
      <w:bCs/>
    </w:rPr>
  </w:style>
  <w:style w:type="character" w:styleId="FollowedHyperlink">
    <w:name w:val="FollowedHyperlink"/>
    <w:basedOn w:val="DefaultParagraphFont"/>
    <w:uiPriority w:val="99"/>
    <w:rsid w:val="001503F8"/>
    <w:rPr>
      <w:rFonts w:cs="Times New Roman"/>
      <w:color w:val="333333"/>
      <w:u w:val="none"/>
    </w:rPr>
  </w:style>
  <w:style w:type="character" w:styleId="Emphasis">
    <w:name w:val="Emphasis"/>
    <w:basedOn w:val="DefaultParagraphFont"/>
    <w:uiPriority w:val="99"/>
    <w:qFormat/>
    <w:rsid w:val="001503F8"/>
    <w:rPr>
      <w:rFonts w:cs="Times New Roman"/>
    </w:rPr>
  </w:style>
  <w:style w:type="character" w:styleId="HTMLDefinition">
    <w:name w:val="HTML Definition"/>
    <w:basedOn w:val="DefaultParagraphFont"/>
    <w:uiPriority w:val="99"/>
    <w:rsid w:val="001503F8"/>
    <w:rPr>
      <w:rFonts w:cs="Times New Roman"/>
    </w:rPr>
  </w:style>
  <w:style w:type="character" w:styleId="HTMLAcronym">
    <w:name w:val="HTML Acronym"/>
    <w:basedOn w:val="DefaultParagraphFont"/>
    <w:uiPriority w:val="99"/>
    <w:rsid w:val="001503F8"/>
    <w:rPr>
      <w:rFonts w:cs="Times New Roman"/>
    </w:rPr>
  </w:style>
  <w:style w:type="character" w:styleId="HTMLVariable">
    <w:name w:val="HTML Variable"/>
    <w:basedOn w:val="DefaultParagraphFont"/>
    <w:uiPriority w:val="99"/>
    <w:rsid w:val="001503F8"/>
    <w:rPr>
      <w:rFonts w:cs="Times New Roman"/>
    </w:rPr>
  </w:style>
  <w:style w:type="character" w:styleId="Hyperlink">
    <w:name w:val="Hyperlink"/>
    <w:basedOn w:val="DefaultParagraphFont"/>
    <w:uiPriority w:val="99"/>
    <w:rsid w:val="001503F8"/>
    <w:rPr>
      <w:rFonts w:cs="Times New Roman"/>
      <w:color w:val="333333"/>
      <w:u w:val="none"/>
    </w:rPr>
  </w:style>
  <w:style w:type="character" w:styleId="HTMLCode">
    <w:name w:val="HTML Code"/>
    <w:basedOn w:val="DefaultParagraphFont"/>
    <w:uiPriority w:val="99"/>
    <w:rsid w:val="001503F8"/>
    <w:rPr>
      <w:rFonts w:ascii="Courier New" w:hAnsi="Courier New" w:cs="Times New Roman"/>
      <w:sz w:val="20"/>
    </w:rPr>
  </w:style>
  <w:style w:type="character" w:styleId="HTMLCite">
    <w:name w:val="HTML Cite"/>
    <w:basedOn w:val="DefaultParagraphFont"/>
    <w:uiPriority w:val="99"/>
    <w:rsid w:val="001503F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9</Pages>
  <Words>631</Words>
  <Characters>3600</Characters>
  <Application>Microsoft Office Outlook</Application>
  <DocSecurity>0</DocSecurity>
  <Lines>0</Lines>
  <Paragraphs>0</Paragraphs>
  <ScaleCrop>false</ScaleCrop>
  <Company>中国微软</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18</cp:revision>
  <cp:lastPrinted>2022-08-29T01:11:00Z</cp:lastPrinted>
  <dcterms:created xsi:type="dcterms:W3CDTF">2018-09-05T07:18:00Z</dcterms:created>
  <dcterms:modified xsi:type="dcterms:W3CDTF">2022-09-26T02:38:00Z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FFE303EC78F94EFA862735D9C3E1245E</vt:lpwstr>
  </property>
</Properties>
</file>