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关于推进基本养老服务机制建设的工作方案</w:t>
      </w:r>
    </w:p>
    <w:p>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kinsoku w:val="0"/>
        <w:wordWrap/>
        <w:overflowPunct/>
        <w:topLinePunct w:val="0"/>
        <w:autoSpaceDE w:val="0"/>
        <w:autoSpaceDN w:val="0"/>
        <w:bidi w:val="0"/>
        <w:adjustRightInd w:val="0"/>
        <w:snapToGrid/>
        <w:spacing w:line="240" w:lineRule="auto"/>
        <w:ind w:firstLine="420" w:firstLineChars="200"/>
        <w:jc w:val="both"/>
        <w:textAlignment w:val="baseline"/>
        <w:rPr>
          <w:rFonts w:hint="eastAsia"/>
        </w:rPr>
      </w:pPr>
    </w:p>
    <w:p>
      <w:pPr>
        <w:keepNext w:val="0"/>
        <w:keepLines w:val="0"/>
        <w:pageBreakBefore w:val="0"/>
        <w:widowControl w:val="0"/>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为深入贯彻《中共吉林省委办公厅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吉林省人民政府办公厅印发</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eastAsia="zh-CN"/>
        </w:rPr>
        <w:t>关于推进基本养老服务机制建设的若干措施</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lang w:val="en-US" w:eastAsia="zh-CN"/>
        </w:rPr>
        <w:t>吉办发</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号）精神，推动基本养老服务高质量发展，</w:t>
      </w:r>
      <w:r>
        <w:rPr>
          <w:rFonts w:hint="eastAsia" w:ascii="仿宋_GB2312" w:hAnsi="仿宋_GB2312" w:eastAsia="仿宋_GB2312" w:cs="仿宋_GB2312"/>
          <w:sz w:val="32"/>
          <w:szCs w:val="32"/>
          <w:lang w:val="en-US" w:eastAsia="zh-CN"/>
        </w:rPr>
        <w:t>结合我市实际，制定本方案。</w:t>
      </w:r>
    </w:p>
    <w:p>
      <w:pPr>
        <w:keepNext w:val="0"/>
        <w:keepLines w:val="0"/>
        <w:pageBreakBefore w:val="0"/>
        <w:widowControl w:val="0"/>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一、总体要求</w:t>
      </w:r>
    </w:p>
    <w:p>
      <w:pPr>
        <w:keepNext w:val="0"/>
        <w:keepLines w:val="0"/>
        <w:pageBreakBefore w:val="0"/>
        <w:widowControl w:val="0"/>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深入贯彻党的二十大精神，忠实践行习近平总书记视察吉林重要讲话重要指示精神，立足新发展阶段，贯彻落实积极应对人口老龄化国家战略，全面推进全市基本养老服务机制建设，加快构建覆盖全体老年人、权责清晰、保障适度、可持续的基本养老服务体系，更好地满足人民群众日益增长的多样化、多层次养老服务需求，不断增强老年人的获得感、幸福感、安全感。</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二、主要任务</w:t>
      </w:r>
    </w:p>
    <w:p>
      <w:pPr>
        <w:keepNext w:val="0"/>
        <w:keepLines w:val="0"/>
        <w:pageBreakBefore w:val="0"/>
        <w:widowControl w:val="0"/>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（一）制定落实基本养老服务清单</w:t>
      </w:r>
    </w:p>
    <w:p>
      <w:pPr>
        <w:keepNext w:val="0"/>
        <w:keepLines w:val="0"/>
        <w:pageBreakBefore w:val="0"/>
        <w:widowControl w:val="0"/>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1.制定长春市基本养老服务清单。</w:t>
      </w: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sz w:val="32"/>
          <w:szCs w:val="32"/>
          <w:lang w:eastAsia="zh-CN"/>
        </w:rPr>
        <w:t>服务项目包括但不限于《吉林省基本养老服务清单》，覆盖范围和实现程度不低于《吉林省基本养老服务清单》要求，制定《长春市基本养老服务清单》。进一步明确具体服务对象、项目、内容、标准、支出责任和牵头负责单位等,对健康、失能（含失智，下同）、经济困难等不同老年人群体，分类提供物质帮助、照料服务、关爱服务等基本养老服务。</w:t>
      </w:r>
    </w:p>
    <w:p>
      <w:pPr>
        <w:keepNext w:val="0"/>
        <w:keepLines w:val="0"/>
        <w:pageBreakBefore w:val="0"/>
        <w:widowControl w:val="0"/>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责任单位：市民政局、市财政局、市人社局、市卫健委、市退役军人事务局、市医保局、市残联，</w:t>
      </w:r>
      <w:r>
        <w:rPr>
          <w:rFonts w:hint="eastAsia" w:ascii="黑体" w:hAnsi="黑体" w:eastAsia="黑体" w:cs="黑体"/>
          <w:color w:val="000000"/>
          <w:sz w:val="32"/>
          <w:szCs w:val="32"/>
        </w:rPr>
        <w:t>各县（市）区人民政府</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开发区管委会</w:t>
      </w:r>
    </w:p>
    <w:p>
      <w:pPr>
        <w:keepNext w:val="0"/>
        <w:keepLines w:val="0"/>
        <w:pageBreakBefore w:val="0"/>
        <w:widowControl w:val="0"/>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（二）建立精准服务主动响应机制</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2.开展老年人能力综合评估。</w:t>
      </w:r>
      <w:r>
        <w:rPr>
          <w:rFonts w:hint="eastAsia" w:ascii="仿宋_GB2312" w:hAnsi="仿宋_GB2312" w:eastAsia="仿宋_GB2312" w:cs="仿宋_GB2312"/>
          <w:sz w:val="32"/>
          <w:szCs w:val="32"/>
          <w:lang w:val="en-US" w:eastAsia="zh-CN"/>
        </w:rPr>
        <w:t>建立完善统一规范的</w:t>
      </w:r>
      <w:r>
        <w:rPr>
          <w:rFonts w:hint="eastAsia" w:ascii="仿宋_GB2312" w:hAnsi="仿宋_GB2312" w:eastAsia="仿宋_GB2312" w:cs="仿宋_GB2312"/>
          <w:sz w:val="32"/>
          <w:szCs w:val="32"/>
        </w:rPr>
        <w:t>老年人能力综合评估</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评估结果</w:t>
      </w:r>
      <w:r>
        <w:rPr>
          <w:rFonts w:hint="eastAsia" w:ascii="仿宋_GB2312" w:hAnsi="仿宋_GB2312" w:eastAsia="仿宋_GB2312" w:cs="仿宋_GB2312"/>
          <w:sz w:val="32"/>
          <w:szCs w:val="32"/>
          <w:lang w:eastAsia="zh-CN"/>
        </w:rPr>
        <w:t>互</w:t>
      </w:r>
      <w:r>
        <w:rPr>
          <w:rFonts w:hint="eastAsia" w:ascii="仿宋_GB2312" w:hAnsi="仿宋_GB2312" w:eastAsia="仿宋_GB2312" w:cs="仿宋_GB2312"/>
          <w:sz w:val="32"/>
          <w:szCs w:val="32"/>
        </w:rPr>
        <w:t>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各部门按需使用，</w:t>
      </w:r>
      <w:r>
        <w:rPr>
          <w:rFonts w:hint="eastAsia" w:ascii="仿宋_GB2312" w:hAnsi="仿宋_GB2312" w:eastAsia="仿宋_GB2312" w:cs="仿宋_GB2312"/>
          <w:sz w:val="32"/>
          <w:szCs w:val="32"/>
          <w:lang w:eastAsia="zh-CN"/>
        </w:rPr>
        <w:t>为科学划分老年人能力等级，推动基本养老服务体系建设，优化养老服务供给，规范养老服务机构运营，加强养老服务综合监管，及</w:t>
      </w:r>
      <w:r>
        <w:rPr>
          <w:rFonts w:hint="eastAsia" w:ascii="仿宋_GB2312" w:hAnsi="仿宋_GB2312" w:eastAsia="仿宋_GB2312" w:cs="仿宋_GB2312"/>
          <w:sz w:val="32"/>
          <w:szCs w:val="32"/>
        </w:rPr>
        <w:t>其他相关政策</w:t>
      </w:r>
      <w:r>
        <w:rPr>
          <w:rFonts w:hint="eastAsia" w:ascii="仿宋_GB2312" w:hAnsi="仿宋_GB2312" w:eastAsia="仿宋_GB2312" w:cs="仿宋_GB2312"/>
          <w:sz w:val="32"/>
          <w:szCs w:val="32"/>
          <w:lang w:val="en-US" w:eastAsia="zh-CN"/>
        </w:rPr>
        <w:t>待遇落实提供依据。</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责任单位：市</w:t>
      </w:r>
      <w:r>
        <w:rPr>
          <w:rFonts w:hint="eastAsia" w:ascii="黑体" w:hAnsi="黑体" w:eastAsia="黑体" w:cs="黑体"/>
          <w:color w:val="000000"/>
          <w:sz w:val="32"/>
          <w:szCs w:val="32"/>
        </w:rPr>
        <w:t>民政</w:t>
      </w:r>
      <w:r>
        <w:rPr>
          <w:rFonts w:hint="eastAsia" w:ascii="黑体" w:hAnsi="黑体" w:eastAsia="黑体" w:cs="黑体"/>
          <w:color w:val="000000"/>
          <w:sz w:val="32"/>
          <w:szCs w:val="32"/>
          <w:lang w:eastAsia="zh-CN"/>
        </w:rPr>
        <w:t>局、市医保局、市卫健委</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3.充分发挥系统平台作用。</w:t>
      </w:r>
      <w:r>
        <w:rPr>
          <w:rFonts w:hint="eastAsia" w:ascii="仿宋_GB2312" w:hAnsi="仿宋_GB2312" w:eastAsia="仿宋_GB2312" w:cs="仿宋_GB2312"/>
          <w:sz w:val="32"/>
          <w:szCs w:val="32"/>
          <w:lang w:val="en-US" w:eastAsia="zh-CN"/>
        </w:rPr>
        <w:t>依托一体化政务服务平台，推进跨部门数据共享。依托“金民工程”系统、长春市养老管理与服务平台，建立困难老年人精准识别和动态管理机制,细化与常住人口、服务半径挂钩的制度安排,逐步实现从“人找服务”到“服务找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color w:val="auto"/>
          <w:sz w:val="32"/>
          <w:szCs w:val="32"/>
          <w:highlight w:val="yellow"/>
          <w:lang w:val="en-US" w:eastAsia="zh-CN"/>
        </w:rPr>
      </w:pPr>
      <w:r>
        <w:rPr>
          <w:rFonts w:hint="eastAsia" w:ascii="黑体" w:hAnsi="黑体" w:eastAsia="黑体" w:cs="黑体"/>
          <w:color w:val="000000"/>
          <w:sz w:val="32"/>
          <w:szCs w:val="32"/>
          <w:lang w:val="en-US" w:eastAsia="zh-CN"/>
        </w:rPr>
        <w:t>责任单位：市民政局</w:t>
      </w:r>
      <w:r>
        <w:rPr>
          <w:rFonts w:hint="eastAsia" w:ascii="黑体" w:hAnsi="黑体" w:eastAsia="黑体" w:cs="黑体"/>
          <w:color w:val="000000"/>
          <w:sz w:val="32"/>
          <w:szCs w:val="32"/>
          <w:highlight w:val="none"/>
          <w:lang w:val="en-US" w:eastAsia="zh-CN"/>
        </w:rPr>
        <w:t>、市公安局、</w:t>
      </w:r>
      <w:r>
        <w:rPr>
          <w:rFonts w:hint="eastAsia" w:ascii="黑体" w:hAnsi="黑体" w:eastAsia="黑体" w:cs="黑体"/>
          <w:color w:val="000000"/>
          <w:sz w:val="32"/>
          <w:szCs w:val="32"/>
          <w:lang w:val="en-US" w:eastAsia="zh-CN"/>
        </w:rPr>
        <w:t>市政数局</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4.推动老年健康与医养结合服务融合。</w:t>
      </w:r>
      <w:r>
        <w:rPr>
          <w:rFonts w:hint="eastAsia" w:ascii="仿宋_GB2312" w:hAnsi="仿宋_GB2312" w:eastAsia="仿宋_GB2312" w:cs="仿宋_GB2312"/>
          <w:sz w:val="32"/>
          <w:szCs w:val="32"/>
          <w:lang w:val="en-US" w:eastAsia="zh-CN"/>
        </w:rPr>
        <w:t>在基层医疗卫生服务机构开展老年健康与医养结合服务试点工作，为65岁及以上老年人提供医养结合服务，为65岁及以上失能老年人开展健康评估与健康服务。</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责任单位：市卫健委</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5.加强残疾老年人养老服务保障。</w:t>
      </w:r>
      <w:r>
        <w:rPr>
          <w:rFonts w:hint="eastAsia" w:ascii="仿宋_GB2312" w:hAnsi="仿宋_GB2312" w:eastAsia="仿宋_GB2312" w:cs="仿宋_GB2312"/>
          <w:sz w:val="32"/>
          <w:szCs w:val="32"/>
          <w:highlight w:val="none"/>
          <w:lang w:val="en-US" w:eastAsia="zh-CN"/>
        </w:rPr>
        <w:t>推动在残疾老年人身份识别、待遇享受、服务递送、无障碍环境建设等方面实现资源整合，持续开展困难残疾人家庭走访探视行动，做好残疾老年人康复器材和生活用品发放等工作，为重度行动不便的老年残疾人开展上门评残等工作。</w:t>
      </w:r>
      <w:r>
        <w:rPr>
          <w:rFonts w:hint="eastAsia" w:ascii="仿宋_GB2312" w:hAnsi="仿宋_GB2312" w:eastAsia="仿宋_GB2312" w:cs="仿宋_GB2312"/>
          <w:sz w:val="32"/>
          <w:szCs w:val="32"/>
          <w:lang w:val="en-US" w:eastAsia="zh-CN"/>
        </w:rPr>
        <w:t>落实残疾人“两项补贴”标准动态调整机制，建立健全补贴对象定期复核机制，做好残疾人“两项补贴”政策衔接，实现补贴“应保尽保、应退尽退”。建立主动服务机制，主动发现自愿申领且符合补贴条件的残疾人或残疾老年人，为其提供服务，实现“政策找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eastAsia="zh-CN"/>
        </w:rPr>
        <w:t>责任单位：</w:t>
      </w:r>
      <w:r>
        <w:rPr>
          <w:rFonts w:hint="eastAsia" w:ascii="黑体" w:hAnsi="黑体" w:eastAsia="黑体" w:cs="黑体"/>
          <w:bCs/>
          <w:color w:val="auto"/>
          <w:sz w:val="32"/>
          <w:szCs w:val="32"/>
          <w:highlight w:val="none"/>
          <w:lang w:val="en-US" w:eastAsia="zh-CN"/>
        </w:rPr>
        <w:t>市残联、市民政局、市财政局</w:t>
      </w:r>
    </w:p>
    <w:p>
      <w:pPr>
        <w:keepNext w:val="0"/>
        <w:keepLines w:val="0"/>
        <w:pageBreakBefore w:val="0"/>
        <w:widowControl w:val="0"/>
        <w:kinsoku w:val="0"/>
        <w:wordWrap/>
        <w:overflowPunct w:val="0"/>
        <w:topLinePunct w:val="0"/>
        <w:autoSpaceDE w:val="0"/>
        <w:autoSpaceDN w:val="0"/>
        <w:bidi w:val="0"/>
        <w:adjustRightInd w:val="0"/>
        <w:snapToGrid/>
        <w:spacing w:line="240" w:lineRule="auto"/>
        <w:ind w:left="0" w:leftChars="0" w:firstLine="642" w:firstLineChars="200"/>
        <w:jc w:val="both"/>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6.完善居家老年人巡访关爱机制。</w:t>
      </w:r>
      <w:r>
        <w:rPr>
          <w:rFonts w:hint="eastAsia" w:ascii="仿宋_GB2312" w:hAnsi="仿宋_GB2312" w:eastAsia="仿宋_GB2312" w:cs="仿宋_GB2312"/>
          <w:sz w:val="32"/>
          <w:szCs w:val="32"/>
        </w:rPr>
        <w:t>实行普遍巡访和重点巡访相结合，</w:t>
      </w:r>
      <w:r>
        <w:rPr>
          <w:rFonts w:hint="eastAsia" w:ascii="仿宋_GB2312" w:hAnsi="仿宋_GB2312" w:eastAsia="仿宋_GB2312" w:cs="仿宋_GB2312"/>
          <w:color w:val="auto"/>
          <w:sz w:val="32"/>
          <w:szCs w:val="32"/>
          <w:lang w:val="en-US" w:eastAsia="zh-CN"/>
        </w:rPr>
        <w:t>以独居、空巢、留守、特困、高龄、失能（含失智）、重残和计划生育特殊家庭等居家老年人为重点，逐步扩大到所有居家老年人，逐人建立电子档案。注重发挥群众性自治组织、基层老年协会、社工、志愿者、邻里亲属作用，依托乡镇（街道）、村（社区）社工站点，</w:t>
      </w:r>
      <w:r>
        <w:rPr>
          <w:rFonts w:hint="eastAsia" w:ascii="仿宋_GB2312" w:hAnsi="仿宋_GB2312" w:eastAsia="仿宋_GB2312" w:cs="仿宋_GB2312"/>
          <w:sz w:val="32"/>
          <w:szCs w:val="32"/>
        </w:rPr>
        <w:t>采取电话问候、上门探访等多种形式，运用互联网、物联网等技术手段，</w:t>
      </w:r>
      <w:r>
        <w:rPr>
          <w:rFonts w:hint="eastAsia" w:ascii="仿宋_GB2312" w:hAnsi="仿宋_GB2312" w:eastAsia="仿宋_GB2312" w:cs="仿宋_GB2312"/>
          <w:color w:val="auto"/>
          <w:sz w:val="32"/>
          <w:szCs w:val="32"/>
          <w:lang w:val="en-US" w:eastAsia="zh-CN"/>
        </w:rPr>
        <w:t>科学安排巡探视</w:t>
      </w:r>
      <w:r>
        <w:rPr>
          <w:rFonts w:hint="eastAsia" w:ascii="仿宋_GB2312" w:hAnsi="仿宋_GB2312" w:eastAsia="仿宋_GB2312" w:cs="仿宋_GB2312"/>
          <w:color w:val="auto"/>
          <w:w w:val="94"/>
          <w:sz w:val="32"/>
          <w:szCs w:val="32"/>
          <w:lang w:eastAsia="zh-CN"/>
        </w:rPr>
        <w:t>，</w:t>
      </w:r>
      <w:r>
        <w:rPr>
          <w:rFonts w:hint="eastAsia" w:ascii="仿宋_GB2312" w:hAnsi="仿宋_GB2312" w:eastAsia="仿宋_GB2312" w:cs="仿宋_GB2312"/>
          <w:color w:val="auto"/>
          <w:sz w:val="32"/>
          <w:szCs w:val="32"/>
          <w:lang w:val="en-US" w:eastAsia="zh-CN"/>
        </w:rPr>
        <w:t>及时排查化解风险，提供政策咨询、信息查询、业务办理等便民养老服务。到2025年底，基本形成居家老年人巡访、帮扶、服务三方面结合的关爱机制。</w:t>
      </w:r>
    </w:p>
    <w:p>
      <w:pPr>
        <w:keepNext w:val="0"/>
        <w:keepLines w:val="0"/>
        <w:pageBreakBefore w:val="0"/>
        <w:widowControl w:val="0"/>
        <w:kinsoku w:val="0"/>
        <w:wordWrap/>
        <w:overflowPunct w:val="0"/>
        <w:topLinePunct w:val="0"/>
        <w:autoSpaceDE w:val="0"/>
        <w:autoSpaceDN w:val="0"/>
        <w:bidi w:val="0"/>
        <w:adjustRightInd w:val="0"/>
        <w:snapToGrid/>
        <w:spacing w:line="240" w:lineRule="auto"/>
        <w:ind w:left="0" w:leftChars="0" w:firstLine="640" w:firstLineChars="200"/>
        <w:jc w:val="both"/>
        <w:textAlignment w:val="baseline"/>
        <w:outlineLvl w:val="9"/>
        <w:rPr>
          <w:rFonts w:hint="eastAsia"/>
          <w:lang w:val="en-US" w:eastAsia="zh-CN"/>
        </w:rPr>
      </w:pPr>
      <w:r>
        <w:rPr>
          <w:rFonts w:hint="eastAsia" w:ascii="黑体" w:hAnsi="黑体" w:eastAsia="黑体" w:cs="黑体"/>
          <w:bCs/>
          <w:color w:val="auto"/>
          <w:sz w:val="32"/>
          <w:szCs w:val="32"/>
          <w:highlight w:val="none"/>
          <w:lang w:val="en-US" w:eastAsia="zh-CN"/>
        </w:rPr>
        <w:t>责任单位：市民政局、市残联</w:t>
      </w:r>
    </w:p>
    <w:p>
      <w:pPr>
        <w:keepNext w:val="0"/>
        <w:keepLines w:val="0"/>
        <w:pageBreakBefore w:val="0"/>
        <w:widowControl w:val="0"/>
        <w:kinsoku w:val="0"/>
        <w:wordWrap/>
        <w:overflowPunct w:val="0"/>
        <w:topLinePunct w:val="0"/>
        <w:autoSpaceDE w:val="0"/>
        <w:autoSpaceDN w:val="0"/>
        <w:bidi w:val="0"/>
        <w:adjustRightInd w:val="0"/>
        <w:snapToGrid/>
        <w:spacing w:line="240" w:lineRule="auto"/>
        <w:ind w:left="0" w:leftChars="0" w:firstLine="642" w:firstLineChars="200"/>
        <w:jc w:val="both"/>
        <w:textAlignment w:val="baseline"/>
        <w:outlineLvl w:val="9"/>
        <w:rPr>
          <w:rFonts w:hint="eastAsia" w:ascii="楷体_GB2312" w:hAnsi="楷体_GB2312" w:eastAsia="楷体_GB2312" w:cs="楷体_GB2312"/>
          <w:b/>
          <w:bCs/>
          <w:snapToGrid w:val="0"/>
          <w:color w:val="auto"/>
          <w:kern w:val="0"/>
          <w:sz w:val="32"/>
          <w:szCs w:val="32"/>
          <w:lang w:val="en-US" w:eastAsia="zh-CN"/>
        </w:rPr>
      </w:pPr>
      <w:r>
        <w:rPr>
          <w:rFonts w:hint="eastAsia" w:ascii="楷体_GB2312" w:hAnsi="楷体_GB2312" w:eastAsia="楷体_GB2312" w:cs="楷体_GB2312"/>
          <w:b/>
          <w:bCs/>
          <w:snapToGrid w:val="0"/>
          <w:color w:val="auto"/>
          <w:kern w:val="0"/>
          <w:sz w:val="32"/>
          <w:szCs w:val="32"/>
          <w:lang w:val="en-US" w:eastAsia="zh-CN"/>
        </w:rPr>
        <w:t>（三）完善基本养老服务保障机制</w:t>
      </w:r>
    </w:p>
    <w:p>
      <w:pPr>
        <w:keepNext w:val="0"/>
        <w:keepLines w:val="0"/>
        <w:pageBreakBefore w:val="0"/>
        <w:widowControl w:val="0"/>
        <w:kinsoku w:val="0"/>
        <w:wordWrap/>
        <w:overflowPunct w:val="0"/>
        <w:topLinePunct w:val="0"/>
        <w:autoSpaceDE w:val="0"/>
        <w:autoSpaceDN w:val="0"/>
        <w:bidi w:val="0"/>
        <w:adjustRightInd w:val="0"/>
        <w:snapToGrid/>
        <w:spacing w:line="240" w:lineRule="auto"/>
        <w:ind w:left="0" w:leftChars="0" w:firstLine="642" w:firstLineChars="200"/>
        <w:jc w:val="both"/>
        <w:textAlignment w:val="baseline"/>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napToGrid w:val="0"/>
          <w:color w:val="auto"/>
          <w:kern w:val="0"/>
          <w:sz w:val="32"/>
          <w:szCs w:val="32"/>
          <w:highlight w:val="none"/>
          <w:lang w:val="en-US" w:eastAsia="zh-CN"/>
        </w:rPr>
        <w:t>7.积极推进长期护理保险制度试点工作。</w:t>
      </w:r>
      <w:r>
        <w:rPr>
          <w:rFonts w:hint="eastAsia" w:ascii="仿宋_GB2312" w:hAnsi="仿宋_GB2312" w:eastAsia="仿宋_GB2312" w:cs="仿宋_GB2312"/>
          <w:snapToGrid w:val="0"/>
          <w:color w:val="auto"/>
          <w:kern w:val="0"/>
          <w:sz w:val="32"/>
          <w:szCs w:val="32"/>
          <w:lang w:val="en-US" w:eastAsia="zh-CN"/>
        </w:rPr>
        <w:t>探索建立长期护理保险互助共济、责任共担的多渠道筹资机制，重点解决重度失能人员基本护理保障需求。建立公平适度的长期护理保险待遇保障机制，合理确定待遇保障范围和基金支付水平。完善长期护理保险需求认定、等级评定等标准和管理办法。做好与经济困难的高龄、失能老年人补贴以及重度残疾人护理补贴等政策的衔接。提高长期护理保险经办与管理服务标准化、规范化水平。完善管理服务机制，引入社会力量参与长期护理保险经办服务。鼓励商业保险机构开发、销售商业长期护理保险，进一步发挥商业保险的保障作用，满足老年人多样化的保险服务需求。</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仿宋_GB2312" w:hAnsi="仿宋_GB2312" w:eastAsia="仿宋_GB2312" w:cs="仿宋_GB2312"/>
          <w:bCs/>
          <w:color w:val="auto"/>
          <w:sz w:val="32"/>
          <w:szCs w:val="32"/>
        </w:rPr>
      </w:pPr>
      <w:r>
        <w:rPr>
          <w:rFonts w:hint="eastAsia" w:ascii="黑体" w:hAnsi="黑体" w:eastAsia="黑体" w:cs="黑体"/>
          <w:bCs/>
          <w:snapToGrid w:val="0"/>
          <w:color w:val="auto"/>
          <w:kern w:val="0"/>
          <w:sz w:val="32"/>
          <w:szCs w:val="32"/>
          <w:highlight w:val="none"/>
          <w:lang w:val="en-US" w:eastAsia="zh-CN"/>
        </w:rPr>
        <w:t>责任单位：市医保局、</w:t>
      </w:r>
      <w:r>
        <w:rPr>
          <w:rFonts w:hint="eastAsia" w:ascii="黑体" w:hAnsi="黑体" w:eastAsia="黑体" w:cs="黑体"/>
          <w:bCs/>
          <w:color w:val="auto"/>
          <w:sz w:val="32"/>
          <w:szCs w:val="32"/>
          <w:highlight w:val="none"/>
          <w:lang w:val="en-US" w:eastAsia="zh-CN"/>
        </w:rPr>
        <w:t>市残联、</w:t>
      </w:r>
      <w:r>
        <w:rPr>
          <w:rFonts w:hint="eastAsia" w:ascii="黑体" w:hAnsi="黑体" w:eastAsia="黑体" w:cs="黑体"/>
          <w:bCs/>
          <w:snapToGrid w:val="0"/>
          <w:color w:val="auto"/>
          <w:kern w:val="0"/>
          <w:sz w:val="32"/>
          <w:szCs w:val="32"/>
          <w:highlight w:val="none"/>
          <w:lang w:val="en-US" w:eastAsia="zh-CN"/>
        </w:rPr>
        <w:t>吉林银保监局</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b/>
          <w:bCs/>
          <w:snapToGrid w:val="0"/>
          <w:color w:val="000000"/>
          <w:kern w:val="0"/>
          <w:sz w:val="32"/>
          <w:szCs w:val="32"/>
          <w:lang w:val="en-US" w:eastAsia="zh-CN"/>
        </w:rPr>
        <w:t>8.推进家庭养老床位建设。</w:t>
      </w:r>
      <w:r>
        <w:rPr>
          <w:rFonts w:hint="eastAsia" w:ascii="仿宋_GB2312" w:hAnsi="仿宋_GB2312" w:eastAsia="仿宋_GB2312" w:cs="仿宋_GB2312"/>
          <w:b w:val="0"/>
          <w:bCs w:val="0"/>
          <w:snapToGrid w:val="0"/>
          <w:color w:val="000000"/>
          <w:kern w:val="0"/>
          <w:sz w:val="32"/>
          <w:szCs w:val="32"/>
          <w:lang w:val="en-US" w:eastAsia="zh-CN"/>
        </w:rPr>
        <w:t>持续</w:t>
      </w:r>
      <w:r>
        <w:rPr>
          <w:rFonts w:hint="eastAsia" w:ascii="仿宋_GB2312" w:hAnsi="仿宋_GB2312" w:eastAsia="仿宋_GB2312" w:cs="仿宋_GB2312"/>
          <w:snapToGrid w:val="0"/>
          <w:color w:val="000000"/>
          <w:kern w:val="0"/>
          <w:sz w:val="32"/>
          <w:szCs w:val="32"/>
          <w:lang w:val="en-US" w:eastAsia="zh-CN"/>
        </w:rPr>
        <w:t>开展家庭养老床位照护服务项目，将符合条件的家庭养老床位纳入长期护理保险服务范围，落实相关服务、管理、技术规范以及建设和运营支持政策，依托专业照护机构为老年人提供生活照料、医疗护理、远程监护等照护服务。</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snapToGrid w:val="0"/>
          <w:color w:val="auto"/>
          <w:kern w:val="0"/>
          <w:sz w:val="32"/>
          <w:szCs w:val="32"/>
          <w:highlight w:val="none"/>
          <w:lang w:val="en-US" w:eastAsia="zh-CN"/>
        </w:rPr>
      </w:pPr>
      <w:r>
        <w:rPr>
          <w:rFonts w:hint="eastAsia" w:ascii="黑体" w:hAnsi="黑体" w:eastAsia="黑体" w:cs="黑体"/>
          <w:color w:val="auto"/>
          <w:sz w:val="32"/>
          <w:szCs w:val="32"/>
          <w:highlight w:val="none"/>
          <w:lang w:eastAsia="zh-CN"/>
        </w:rPr>
        <w:t>责任</w:t>
      </w:r>
      <w:r>
        <w:rPr>
          <w:rFonts w:hint="eastAsia" w:ascii="黑体" w:hAnsi="黑体" w:eastAsia="黑体" w:cs="黑体"/>
          <w:bCs/>
          <w:snapToGrid w:val="0"/>
          <w:color w:val="auto"/>
          <w:kern w:val="0"/>
          <w:sz w:val="32"/>
          <w:szCs w:val="32"/>
          <w:highlight w:val="none"/>
          <w:lang w:val="en-US" w:eastAsia="zh-CN"/>
        </w:rPr>
        <w:t>单位：市民政局、市医保局</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b/>
          <w:bCs/>
          <w:snapToGrid w:val="0"/>
          <w:color w:val="000000"/>
          <w:kern w:val="0"/>
          <w:sz w:val="32"/>
          <w:szCs w:val="32"/>
          <w:lang w:val="en-US" w:eastAsia="zh-CN"/>
        </w:rPr>
        <w:t>9.</w:t>
      </w:r>
      <w:r>
        <w:rPr>
          <w:rFonts w:hint="eastAsia" w:ascii="仿宋_GB2312" w:hAnsi="仿宋_GB2312" w:eastAsia="仿宋_GB2312" w:cs="仿宋_GB2312"/>
          <w:b/>
          <w:bCs/>
          <w:snapToGrid w:val="0"/>
          <w:color w:val="000000"/>
          <w:kern w:val="0"/>
          <w:sz w:val="32"/>
          <w:szCs w:val="32"/>
        </w:rPr>
        <w:t>健全分层分类的社会救助</w:t>
      </w:r>
      <w:r>
        <w:rPr>
          <w:rFonts w:hint="eastAsia" w:ascii="仿宋_GB2312" w:hAnsi="仿宋_GB2312" w:eastAsia="仿宋_GB2312" w:cs="仿宋_GB2312"/>
          <w:b/>
          <w:bCs/>
          <w:snapToGrid w:val="0"/>
          <w:color w:val="000000"/>
          <w:kern w:val="0"/>
          <w:sz w:val="32"/>
          <w:szCs w:val="32"/>
          <w:lang w:eastAsia="zh-CN"/>
        </w:rPr>
        <w:t>机制。</w:t>
      </w:r>
      <w:r>
        <w:rPr>
          <w:rFonts w:hint="eastAsia" w:ascii="仿宋_GB2312" w:hAnsi="仿宋_GB2312" w:eastAsia="仿宋_GB2312" w:cs="仿宋_GB2312"/>
          <w:snapToGrid w:val="0"/>
          <w:color w:val="000000"/>
          <w:kern w:val="0"/>
          <w:sz w:val="32"/>
          <w:szCs w:val="32"/>
        </w:rPr>
        <w:t>充分发挥社会救助兜底功能</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将符合条件的老年人纳入最低生活保障、特困人员救助供养等社会救助范围</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建立经济困难老年人养老服务补贴和经济困难失能老年人护理补贴制度，</w:t>
      </w:r>
      <w:r>
        <w:rPr>
          <w:rFonts w:hint="eastAsia" w:ascii="仿宋_GB2312" w:hAnsi="仿宋_GB2312" w:eastAsia="仿宋_GB2312" w:cs="仿宋_GB2312"/>
          <w:snapToGrid w:val="0"/>
          <w:color w:val="000000"/>
          <w:kern w:val="0"/>
          <w:sz w:val="32"/>
          <w:szCs w:val="32"/>
          <w:lang w:eastAsia="zh-CN"/>
        </w:rPr>
        <w:t>做好</w:t>
      </w:r>
      <w:r>
        <w:rPr>
          <w:rFonts w:hint="eastAsia" w:ascii="仿宋_GB2312" w:hAnsi="仿宋_GB2312" w:eastAsia="仿宋_GB2312" w:cs="仿宋_GB2312"/>
          <w:sz w:val="32"/>
          <w:szCs w:val="32"/>
          <w:lang w:eastAsia="zh-CN"/>
        </w:rPr>
        <w:t>补贴标准动态调整。</w:t>
      </w:r>
      <w:r>
        <w:rPr>
          <w:rFonts w:hint="eastAsia" w:ascii="仿宋_GB2312" w:hAnsi="仿宋_GB2312" w:eastAsia="仿宋_GB2312" w:cs="仿宋_GB2312"/>
          <w:snapToGrid w:val="0"/>
          <w:color w:val="000000"/>
          <w:kern w:val="0"/>
          <w:sz w:val="32"/>
          <w:szCs w:val="32"/>
          <w:lang w:eastAsia="zh-CN"/>
        </w:rPr>
        <w:t>探索通过政府购买服务、动员社会力量等方式，为经济困难的失能老年人等提供必要的探访关爱、精神慰藉、照料服务等。</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责任单位：市民政局、市财政局</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b/>
          <w:bCs/>
          <w:snapToGrid w:val="0"/>
          <w:color w:val="000000"/>
          <w:kern w:val="0"/>
          <w:sz w:val="32"/>
          <w:szCs w:val="32"/>
          <w:lang w:val="en-US" w:eastAsia="zh-CN"/>
        </w:rPr>
        <w:t>10.健全基本养老服务保障机制。</w:t>
      </w:r>
      <w:r>
        <w:rPr>
          <w:rFonts w:hint="eastAsia" w:ascii="仿宋_GB2312" w:hAnsi="仿宋_GB2312" w:eastAsia="仿宋_GB2312" w:cs="仿宋_GB2312"/>
          <w:sz w:val="32"/>
          <w:szCs w:val="32"/>
          <w:lang w:eastAsia="zh-CN"/>
        </w:rPr>
        <w:t>各县（市）区人民政府、开发区管委会要</w:t>
      </w:r>
      <w:r>
        <w:rPr>
          <w:rFonts w:hint="eastAsia" w:ascii="仿宋_GB2312" w:hAnsi="仿宋_GB2312" w:eastAsia="仿宋_GB2312" w:cs="仿宋_GB2312"/>
          <w:sz w:val="32"/>
          <w:szCs w:val="32"/>
        </w:rPr>
        <w:t>按照养老领域资金分担支出责任，统筹保障基本养老服务，并根据经济社会发展状况和老年人口增长情况，不断完善基本养老服务经费保障机制。</w:t>
      </w:r>
      <w:r>
        <w:rPr>
          <w:rFonts w:hint="eastAsia" w:ascii="仿宋_GB2312" w:hAnsi="仿宋_GB2312" w:eastAsia="仿宋_GB2312" w:cs="仿宋_GB2312"/>
          <w:color w:val="000000"/>
          <w:sz w:val="32"/>
          <w:szCs w:val="32"/>
        </w:rPr>
        <w:t>社会福利事业的彩票公益金支持发展养老服务比例不低于</w:t>
      </w:r>
      <w:r>
        <w:rPr>
          <w:rFonts w:hint="eastAsia" w:ascii="仿宋_GB2312" w:hAnsi="仿宋_GB2312" w:eastAsia="仿宋_GB2312" w:cs="仿宋_GB2312"/>
          <w:color w:val="000000"/>
          <w:sz w:val="32"/>
          <w:szCs w:val="32"/>
          <w:lang w:val="en-US" w:eastAsia="zh-CN"/>
        </w:rPr>
        <w:t>55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积极开展养老服务业专项银企对接，为有需求的养老服务企业提供融资服务。按照国家和省相关要求，对于符合中央预算内以及政府专项债券投向的养老领域项目，扎实做好资金申报相关工作，积极争取上级资金支持项目建设。</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color w:val="auto"/>
          <w:sz w:val="32"/>
          <w:szCs w:val="32"/>
          <w:highlight w:val="none"/>
          <w:lang w:eastAsia="zh-CN"/>
        </w:rPr>
      </w:pPr>
      <w:r>
        <w:rPr>
          <w:rFonts w:hint="eastAsia" w:ascii="黑体" w:hAnsi="黑体" w:eastAsia="黑体" w:cs="黑体"/>
          <w:bCs/>
          <w:color w:val="auto"/>
          <w:sz w:val="32"/>
          <w:szCs w:val="32"/>
          <w:highlight w:val="none"/>
          <w:lang w:val="en-US" w:eastAsia="zh-CN"/>
        </w:rPr>
        <w:t>责任单位：</w:t>
      </w:r>
      <w:r>
        <w:rPr>
          <w:rFonts w:hint="eastAsia" w:ascii="黑体" w:hAnsi="黑体" w:eastAsia="黑体" w:cs="黑体"/>
          <w:color w:val="auto"/>
          <w:sz w:val="32"/>
          <w:szCs w:val="32"/>
          <w:highlight w:val="none"/>
          <w:lang w:eastAsia="zh-CN"/>
        </w:rPr>
        <w:t>市</w:t>
      </w:r>
      <w:r>
        <w:rPr>
          <w:rFonts w:hint="eastAsia" w:ascii="黑体" w:hAnsi="黑体" w:eastAsia="黑体" w:cs="黑体"/>
          <w:color w:val="auto"/>
          <w:sz w:val="32"/>
          <w:szCs w:val="32"/>
          <w:highlight w:val="none"/>
        </w:rPr>
        <w:t>发改委</w:t>
      </w:r>
      <w:r>
        <w:rPr>
          <w:rFonts w:hint="eastAsia" w:ascii="黑体" w:hAnsi="黑体" w:eastAsia="黑体" w:cs="黑体"/>
          <w:color w:val="auto"/>
          <w:sz w:val="32"/>
          <w:szCs w:val="32"/>
          <w:highlight w:val="none"/>
          <w:lang w:eastAsia="zh-CN"/>
        </w:rPr>
        <w:t>、</w:t>
      </w:r>
      <w:r>
        <w:rPr>
          <w:rFonts w:hint="eastAsia" w:ascii="黑体" w:hAnsi="黑体" w:eastAsia="黑体" w:cs="黑体"/>
          <w:bCs/>
          <w:color w:val="auto"/>
          <w:sz w:val="32"/>
          <w:szCs w:val="32"/>
          <w:highlight w:val="none"/>
          <w:lang w:val="en-US" w:eastAsia="zh-CN"/>
        </w:rPr>
        <w:t>市民政局、市财政局、</w:t>
      </w:r>
      <w:r>
        <w:rPr>
          <w:rFonts w:hint="eastAsia" w:ascii="黑体" w:hAnsi="黑体" w:eastAsia="黑体" w:cs="黑体"/>
          <w:color w:val="auto"/>
          <w:sz w:val="32"/>
          <w:szCs w:val="32"/>
          <w:highlight w:val="none"/>
          <w:lang w:eastAsia="zh-CN"/>
        </w:rPr>
        <w:t>市金融办，</w:t>
      </w:r>
      <w:r>
        <w:rPr>
          <w:rFonts w:hint="eastAsia" w:ascii="黑体" w:hAnsi="黑体" w:eastAsia="黑体" w:cs="黑体"/>
          <w:color w:val="000000"/>
          <w:sz w:val="32"/>
          <w:szCs w:val="32"/>
        </w:rPr>
        <w:t>各县（市）区人民政府</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开发区管委</w:t>
      </w:r>
      <w:r>
        <w:rPr>
          <w:rFonts w:hint="eastAsia" w:ascii="黑体" w:hAnsi="黑体" w:eastAsia="黑体" w:cs="黑体"/>
          <w:color w:val="000000"/>
          <w:sz w:val="32"/>
          <w:szCs w:val="32"/>
          <w:lang w:eastAsia="zh-CN"/>
        </w:rPr>
        <w:t>会</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11.强化政策扶持</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sz w:val="32"/>
          <w:szCs w:val="32"/>
        </w:rPr>
        <w:t>落实支持养老服务业发展的税费减免政策。落实养老服务机构用电、用水、用气享受居民价格政策，</w:t>
      </w:r>
      <w:r>
        <w:rPr>
          <w:rFonts w:hint="eastAsia" w:ascii="仿宋_GB2312" w:hAnsi="仿宋_GB2312" w:eastAsia="仿宋_GB2312" w:cs="仿宋_GB2312"/>
          <w:color w:val="auto"/>
          <w:sz w:val="32"/>
          <w:szCs w:val="32"/>
          <w:highlight w:val="none"/>
        </w:rPr>
        <w:t>不得以土地、房屋性质等为理由拒绝执行相关</w:t>
      </w:r>
      <w:r>
        <w:rPr>
          <w:rFonts w:hint="eastAsia" w:ascii="仿宋_GB2312" w:hAnsi="仿宋_GB2312" w:eastAsia="仿宋_GB2312" w:cs="仿宋_GB2312"/>
          <w:color w:val="auto"/>
          <w:sz w:val="32"/>
          <w:szCs w:val="32"/>
          <w:highlight w:val="none"/>
          <w:lang w:eastAsia="zh-CN"/>
        </w:rPr>
        <w:t>优惠</w:t>
      </w:r>
      <w:r>
        <w:rPr>
          <w:rFonts w:hint="eastAsia" w:ascii="仿宋_GB2312" w:hAnsi="仿宋_GB2312" w:eastAsia="仿宋_GB2312" w:cs="仿宋_GB2312"/>
          <w:color w:val="auto"/>
          <w:sz w:val="32"/>
          <w:szCs w:val="32"/>
          <w:highlight w:val="none"/>
        </w:rPr>
        <w:t>价格政策。</w:t>
      </w:r>
      <w:r>
        <w:rPr>
          <w:rFonts w:hint="eastAsia" w:ascii="仿宋_GB2312" w:hAnsi="仿宋_GB2312" w:eastAsia="仿宋_GB2312" w:cs="仿宋_GB2312"/>
          <w:color w:val="auto"/>
          <w:sz w:val="32"/>
          <w:szCs w:val="32"/>
          <w:highlight w:val="none"/>
          <w:lang w:eastAsia="zh-CN"/>
        </w:rPr>
        <w:t>鼓励各地因地制宜建立健全土地使用、投资融资、费用减免、人才培养等政策，支持引导养老服务机构等各类主体提供多元化基本养老服务。</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责任单位：市民政局、市财政局，</w:t>
      </w:r>
      <w:r>
        <w:rPr>
          <w:rFonts w:hint="eastAsia" w:ascii="黑体" w:hAnsi="黑体" w:eastAsia="黑体" w:cs="黑体"/>
          <w:color w:val="000000"/>
          <w:sz w:val="32"/>
          <w:szCs w:val="32"/>
        </w:rPr>
        <w:t>各县（市）区人民政府</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开发区管委</w:t>
      </w:r>
      <w:r>
        <w:rPr>
          <w:rFonts w:hint="eastAsia" w:ascii="黑体" w:hAnsi="黑体" w:eastAsia="黑体" w:cs="黑体"/>
          <w:color w:val="000000"/>
          <w:sz w:val="32"/>
          <w:szCs w:val="32"/>
          <w:lang w:eastAsia="zh-CN"/>
        </w:rPr>
        <w:t>会</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b/>
          <w:bCs/>
          <w:color w:val="auto"/>
          <w:sz w:val="32"/>
          <w:szCs w:val="32"/>
          <w:highlight w:val="none"/>
          <w:lang w:val="en-US" w:eastAsia="zh-CN"/>
        </w:rPr>
        <w:t>12.加大购买服务力度。</w:t>
      </w:r>
      <w:r>
        <w:rPr>
          <w:rFonts w:hint="eastAsia" w:ascii="仿宋_GB2312" w:hAnsi="仿宋_GB2312" w:eastAsia="仿宋_GB2312" w:cs="仿宋_GB2312"/>
          <w:color w:val="auto"/>
          <w:sz w:val="32"/>
          <w:szCs w:val="32"/>
          <w:highlight w:val="none"/>
          <w:lang w:eastAsia="zh-CN"/>
        </w:rPr>
        <w:t>将政府购买服务与直接提供服务相结合，</w:t>
      </w:r>
      <w:r>
        <w:rPr>
          <w:rFonts w:hint="eastAsia" w:ascii="仿宋_GB2312" w:hAnsi="仿宋_GB2312" w:eastAsia="仿宋_GB2312" w:cs="仿宋_GB2312"/>
          <w:color w:val="auto"/>
          <w:sz w:val="32"/>
          <w:szCs w:val="32"/>
          <w:highlight w:val="none"/>
        </w:rPr>
        <w:t>优先</w:t>
      </w:r>
      <w:r>
        <w:rPr>
          <w:rFonts w:hint="eastAsia" w:ascii="仿宋_GB2312" w:hAnsi="仿宋_GB2312" w:eastAsia="仿宋_GB2312" w:cs="仿宋_GB2312"/>
          <w:color w:val="auto"/>
          <w:sz w:val="32"/>
          <w:szCs w:val="32"/>
          <w:highlight w:val="none"/>
          <w:lang w:eastAsia="zh-CN"/>
        </w:rPr>
        <w:t>保障经济困难的失能、高龄、无人照顾等老年人的服务需求。</w:t>
      </w:r>
      <w:r>
        <w:rPr>
          <w:rFonts w:hint="eastAsia" w:ascii="仿宋_GB2312" w:hAnsi="仿宋_GB2312" w:eastAsia="仿宋_GB2312" w:cs="仿宋_GB2312"/>
          <w:bCs/>
          <w:color w:val="auto"/>
          <w:kern w:val="2"/>
          <w:sz w:val="32"/>
          <w:szCs w:val="32"/>
          <w:highlight w:val="none"/>
        </w:rPr>
        <w:t>采取政府购买服务等方式，支持引导</w:t>
      </w:r>
      <w:r>
        <w:rPr>
          <w:rFonts w:hint="eastAsia" w:ascii="仿宋_GB2312" w:hAnsi="仿宋_GB2312" w:eastAsia="仿宋_GB2312" w:cs="仿宋_GB2312"/>
          <w:bCs/>
          <w:color w:val="auto"/>
          <w:kern w:val="2"/>
          <w:sz w:val="32"/>
          <w:szCs w:val="32"/>
          <w:highlight w:val="none"/>
          <w:lang w:val="en-US" w:eastAsia="zh-CN"/>
        </w:rPr>
        <w:t>社会资本参与建设养老服务项目。</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color w:val="auto"/>
          <w:sz w:val="32"/>
          <w:szCs w:val="32"/>
          <w:highlight w:val="none"/>
          <w:lang w:eastAsia="zh-CN"/>
        </w:rPr>
      </w:pPr>
      <w:r>
        <w:rPr>
          <w:rFonts w:hint="eastAsia" w:ascii="黑体" w:hAnsi="黑体" w:eastAsia="黑体" w:cs="黑体"/>
          <w:color w:val="auto"/>
          <w:sz w:val="32"/>
          <w:szCs w:val="32"/>
          <w:highlight w:val="none"/>
          <w:lang w:eastAsia="zh-CN"/>
        </w:rPr>
        <w:t>责任单位：市民政局、市财政局，</w:t>
      </w:r>
      <w:r>
        <w:rPr>
          <w:rFonts w:hint="eastAsia" w:ascii="黑体" w:hAnsi="黑体" w:eastAsia="黑体" w:cs="黑体"/>
          <w:color w:val="000000"/>
          <w:sz w:val="32"/>
          <w:szCs w:val="32"/>
        </w:rPr>
        <w:t>各县（市）区人民政府</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开发区管委</w:t>
      </w:r>
      <w:r>
        <w:rPr>
          <w:rFonts w:hint="eastAsia" w:ascii="黑体" w:hAnsi="黑体" w:eastAsia="黑体" w:cs="黑体"/>
          <w:color w:val="000000"/>
          <w:sz w:val="32"/>
          <w:szCs w:val="32"/>
          <w:lang w:eastAsia="zh-CN"/>
        </w:rPr>
        <w:t>会</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13.丰富社区养老服务形式。</w:t>
      </w:r>
      <w:r>
        <w:rPr>
          <w:rFonts w:hint="eastAsia" w:ascii="仿宋_GB2312" w:hAnsi="仿宋_GB2312" w:eastAsia="仿宋_GB2312" w:cs="仿宋_GB2312"/>
          <w:color w:val="auto"/>
          <w:sz w:val="32"/>
          <w:szCs w:val="32"/>
          <w:highlight w:val="none"/>
          <w:lang w:val="en-US" w:eastAsia="zh-CN"/>
        </w:rPr>
        <w:t>鼓励和</w:t>
      </w:r>
      <w:r>
        <w:rPr>
          <w:rFonts w:hint="eastAsia" w:ascii="仿宋_GB2312" w:hAnsi="仿宋_GB2312" w:eastAsia="仿宋_GB2312" w:cs="仿宋_GB2312"/>
          <w:color w:val="auto"/>
          <w:sz w:val="32"/>
          <w:szCs w:val="32"/>
          <w:highlight w:val="none"/>
          <w:lang w:eastAsia="zh-CN"/>
        </w:rPr>
        <w:t>支持“物业+养老”、“家政+养老”等</w:t>
      </w:r>
      <w:r>
        <w:rPr>
          <w:rFonts w:hint="eastAsia" w:ascii="仿宋_GB2312" w:hAnsi="仿宋_GB2312" w:eastAsia="仿宋_GB2312" w:cs="仿宋_GB2312"/>
          <w:color w:val="auto"/>
          <w:sz w:val="32"/>
          <w:szCs w:val="32"/>
          <w:highlight w:val="none"/>
          <w:lang w:val="en-US" w:eastAsia="zh-CN"/>
        </w:rPr>
        <w:t>居家社区养老模式，</w:t>
      </w:r>
      <w:r>
        <w:rPr>
          <w:rFonts w:hint="eastAsia" w:ascii="仿宋_GB2312" w:hAnsi="仿宋_GB2312" w:eastAsia="仿宋_GB2312" w:cs="仿宋_GB2312"/>
          <w:color w:val="auto"/>
          <w:sz w:val="32"/>
          <w:szCs w:val="32"/>
          <w:highlight w:val="none"/>
          <w:lang w:eastAsia="zh-CN"/>
        </w:rPr>
        <w:t>引导物业企业、零售服务商、社会工作服务机构等拓展为老服务功能，</w:t>
      </w:r>
      <w:r>
        <w:rPr>
          <w:rFonts w:hint="eastAsia" w:ascii="仿宋_GB2312" w:hAnsi="仿宋_GB2312" w:eastAsia="仿宋_GB2312" w:cs="仿宋_GB2312"/>
          <w:color w:val="auto"/>
          <w:sz w:val="32"/>
          <w:szCs w:val="32"/>
          <w:highlight w:val="none"/>
          <w:lang w:val="en-US" w:eastAsia="zh-CN"/>
        </w:rPr>
        <w:t xml:space="preserve">根据社区居家老年人实际需求，为老年人提供助餐、助浴、助洁、助急、助行、助医、照料看护等服务。 </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val="en-US" w:eastAsia="zh-CN"/>
        </w:rPr>
        <w:t>责任单位：市民政局</w:t>
      </w:r>
      <w:r>
        <w:rPr>
          <w:rFonts w:hint="eastAsia" w:ascii="黑体" w:hAnsi="黑体" w:eastAsia="黑体" w:cs="黑体"/>
          <w:color w:val="auto"/>
          <w:sz w:val="32"/>
          <w:szCs w:val="32"/>
          <w:highlight w:val="none"/>
          <w:lang w:eastAsia="zh-CN"/>
        </w:rPr>
        <w:t>、市房管局</w:t>
      </w:r>
      <w:r>
        <w:rPr>
          <w:rFonts w:hint="eastAsia" w:ascii="黑体" w:hAnsi="黑体" w:eastAsia="黑体" w:cs="黑体"/>
          <w:color w:val="auto"/>
          <w:sz w:val="32"/>
          <w:szCs w:val="32"/>
          <w:highlight w:val="none"/>
          <w:lang w:val="en-US" w:eastAsia="zh-CN"/>
        </w:rPr>
        <w:t>，</w:t>
      </w:r>
      <w:r>
        <w:rPr>
          <w:rFonts w:hint="eastAsia" w:ascii="黑体" w:hAnsi="黑体" w:eastAsia="黑体" w:cs="黑体"/>
          <w:color w:val="000000"/>
          <w:sz w:val="32"/>
          <w:szCs w:val="32"/>
        </w:rPr>
        <w:t>各县（市）区人民政府</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开发区管委</w:t>
      </w:r>
      <w:r>
        <w:rPr>
          <w:rFonts w:hint="eastAsia" w:ascii="黑体" w:hAnsi="黑体" w:eastAsia="黑体" w:cs="黑体"/>
          <w:color w:val="000000"/>
          <w:sz w:val="32"/>
          <w:szCs w:val="32"/>
          <w:lang w:eastAsia="zh-CN"/>
        </w:rPr>
        <w:t>会</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bCs/>
          <w:color w:val="auto"/>
          <w:kern w:val="2"/>
          <w:sz w:val="32"/>
          <w:szCs w:val="32"/>
          <w:highlight w:val="none"/>
          <w:lang w:val="en-US" w:eastAsia="zh-CN"/>
        </w:rPr>
      </w:pPr>
      <w:r>
        <w:rPr>
          <w:rFonts w:hint="eastAsia" w:ascii="仿宋_GB2312" w:hAnsi="仿宋_GB2312" w:eastAsia="仿宋_GB2312" w:cs="仿宋_GB2312"/>
          <w:b/>
          <w:bCs/>
          <w:sz w:val="32"/>
          <w:szCs w:val="32"/>
          <w:lang w:val="en-US" w:eastAsia="zh-CN"/>
        </w:rPr>
        <w:t>14.充分发挥慈善、社会组织、志愿服务作用。</w:t>
      </w:r>
      <w:r>
        <w:rPr>
          <w:rFonts w:hint="eastAsia" w:ascii="仿宋_GB2312" w:hAnsi="仿宋_GB2312" w:eastAsia="仿宋_GB2312" w:cs="仿宋_GB2312"/>
          <w:sz w:val="32"/>
          <w:szCs w:val="32"/>
        </w:rPr>
        <w:t>鼓励和引导企业、社会组织、个人等社会力量依法通过捐赠、设立慈善基金、志愿服务等方式,为基本养老服务提供支持和帮助。</w:t>
      </w:r>
      <w:r>
        <w:rPr>
          <w:rFonts w:hint="eastAsia" w:ascii="仿宋_GB2312" w:hAnsi="仿宋_GB2312" w:eastAsia="仿宋_GB2312" w:cs="仿宋_GB2312"/>
          <w:bCs/>
          <w:color w:val="auto"/>
          <w:kern w:val="2"/>
          <w:sz w:val="32"/>
          <w:szCs w:val="32"/>
          <w:highlight w:val="none"/>
        </w:rPr>
        <w:t>围绕关爱老年人开展慈善募捐、慈善信托等慈善活动，依法加强对慈善组织和慈善活动的监管。引导</w:t>
      </w:r>
      <w:r>
        <w:rPr>
          <w:rFonts w:hint="eastAsia" w:ascii="仿宋_GB2312" w:hAnsi="仿宋_GB2312" w:eastAsia="仿宋_GB2312" w:cs="仿宋_GB2312"/>
          <w:bCs/>
          <w:color w:val="auto"/>
          <w:kern w:val="2"/>
          <w:sz w:val="32"/>
          <w:szCs w:val="32"/>
          <w:highlight w:val="none"/>
          <w:lang w:val="en-US" w:eastAsia="zh-CN"/>
        </w:rPr>
        <w:t>专业社会服务组织及</w:t>
      </w:r>
      <w:r>
        <w:rPr>
          <w:rFonts w:hint="eastAsia" w:ascii="仿宋_GB2312" w:hAnsi="仿宋_GB2312" w:eastAsia="仿宋_GB2312" w:cs="仿宋_GB2312"/>
          <w:bCs/>
          <w:color w:val="auto"/>
          <w:kern w:val="2"/>
          <w:sz w:val="32"/>
          <w:szCs w:val="32"/>
          <w:highlight w:val="none"/>
        </w:rPr>
        <w:t>在校学生参与志愿服务，与老年人生活服务、精神慰籍有效对接。</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责任单位：市民政局、市教育局，</w:t>
      </w:r>
      <w:r>
        <w:rPr>
          <w:rFonts w:hint="eastAsia" w:ascii="黑体" w:hAnsi="黑体" w:eastAsia="黑体" w:cs="黑体"/>
          <w:color w:val="000000"/>
          <w:sz w:val="32"/>
          <w:szCs w:val="32"/>
        </w:rPr>
        <w:t>各县（市）区人民政府</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开发区管委</w:t>
      </w:r>
      <w:r>
        <w:rPr>
          <w:rFonts w:hint="eastAsia" w:ascii="黑体" w:hAnsi="黑体" w:eastAsia="黑体" w:cs="黑体"/>
          <w:color w:val="000000"/>
          <w:sz w:val="32"/>
          <w:szCs w:val="32"/>
          <w:lang w:eastAsia="zh-CN"/>
        </w:rPr>
        <w:t>会</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15.加强基本养老服务统计监测。</w:t>
      </w:r>
      <w:r>
        <w:rPr>
          <w:rFonts w:hint="eastAsia" w:ascii="仿宋_GB2312" w:hAnsi="仿宋_GB2312" w:eastAsia="仿宋_GB2312" w:cs="仿宋_GB2312"/>
          <w:color w:val="auto"/>
          <w:sz w:val="32"/>
          <w:szCs w:val="32"/>
          <w:highlight w:val="none"/>
        </w:rPr>
        <w:t>建立基本养老服务项目统计调查制度</w:t>
      </w:r>
      <w:r>
        <w:rPr>
          <w:rFonts w:hint="eastAsia" w:ascii="仿宋_GB2312" w:hAnsi="仿宋_GB2312" w:eastAsia="仿宋_GB2312" w:cs="仿宋_GB2312"/>
          <w:color w:val="auto"/>
          <w:sz w:val="32"/>
          <w:szCs w:val="32"/>
          <w:highlight w:val="none"/>
          <w:lang w:eastAsia="zh-CN"/>
        </w:rPr>
        <w:t>，依托长春市养老服务工作联席会议，依据长春市基本养老服务清单，</w:t>
      </w:r>
      <w:r>
        <w:rPr>
          <w:rFonts w:hint="eastAsia" w:ascii="仿宋_GB2312" w:hAnsi="仿宋_GB2312" w:eastAsia="仿宋_GB2312" w:cs="仿宋_GB2312"/>
          <w:color w:val="auto"/>
          <w:sz w:val="32"/>
          <w:szCs w:val="32"/>
          <w:highlight w:val="none"/>
        </w:rPr>
        <w:t>开展基本养老服务统计监测工作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定期发布基本养老服务统计数据。</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color w:val="auto"/>
          <w:sz w:val="32"/>
          <w:szCs w:val="32"/>
          <w:highlight w:val="yellow"/>
          <w:lang w:val="en-US" w:eastAsia="zh-CN"/>
        </w:rPr>
      </w:pPr>
      <w:r>
        <w:rPr>
          <w:rFonts w:hint="eastAsia" w:ascii="黑体" w:hAnsi="黑体" w:eastAsia="黑体" w:cs="黑体"/>
          <w:bCs/>
          <w:color w:val="auto"/>
          <w:sz w:val="32"/>
          <w:szCs w:val="32"/>
          <w:highlight w:val="none"/>
          <w:lang w:val="en-US" w:eastAsia="zh-CN"/>
        </w:rPr>
        <w:t>责任单位：市民政局、市卫健委</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楷体_GB2312" w:hAnsi="楷体_GB2312" w:eastAsia="楷体_GB2312" w:cs="楷体_GB2312"/>
          <w:b/>
          <w:bCs/>
          <w:snapToGrid w:val="0"/>
          <w:color w:val="auto"/>
          <w:kern w:val="0"/>
          <w:sz w:val="32"/>
          <w:szCs w:val="32"/>
          <w:lang w:val="en-US" w:eastAsia="zh-CN"/>
        </w:rPr>
      </w:pPr>
      <w:r>
        <w:rPr>
          <w:rFonts w:hint="eastAsia" w:ascii="楷体_GB2312" w:hAnsi="楷体_GB2312" w:eastAsia="楷体_GB2312" w:cs="楷体_GB2312"/>
          <w:b/>
          <w:bCs/>
          <w:snapToGrid w:val="0"/>
          <w:color w:val="auto"/>
          <w:kern w:val="0"/>
          <w:sz w:val="32"/>
          <w:szCs w:val="32"/>
          <w:lang w:val="en-US" w:eastAsia="zh-CN"/>
        </w:rPr>
        <w:t>（四）提高基本养老服务供给能力</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b/>
          <w:bCs/>
          <w:snapToGrid w:val="0"/>
          <w:color w:val="000000"/>
          <w:kern w:val="0"/>
          <w:sz w:val="32"/>
          <w:szCs w:val="32"/>
          <w:lang w:val="en-US" w:eastAsia="zh-CN"/>
        </w:rPr>
        <w:t>16.</w:t>
      </w:r>
      <w:r>
        <w:rPr>
          <w:rFonts w:hint="eastAsia" w:ascii="仿宋_GB2312" w:hAnsi="仿宋_GB2312" w:eastAsia="仿宋_GB2312" w:cs="仿宋_GB2312"/>
          <w:b/>
          <w:bCs/>
          <w:snapToGrid w:val="0"/>
          <w:color w:val="auto"/>
          <w:kern w:val="0"/>
          <w:sz w:val="32"/>
          <w:szCs w:val="32"/>
          <w:lang w:val="en-US" w:eastAsia="zh-CN"/>
        </w:rPr>
        <w:t>加强养老服务设施建设布局。</w:t>
      </w:r>
      <w:r>
        <w:rPr>
          <w:rFonts w:hint="eastAsia" w:ascii="仿宋_GB2312" w:hAnsi="仿宋_GB2312" w:eastAsia="仿宋_GB2312" w:cs="仿宋_GB2312"/>
          <w:snapToGrid w:val="0"/>
          <w:color w:val="auto"/>
          <w:kern w:val="0"/>
          <w:sz w:val="32"/>
          <w:szCs w:val="32"/>
          <w:lang w:val="en-US" w:eastAsia="zh-CN"/>
        </w:rPr>
        <w:t>组织编制《长春市养老设施专项规划（2021-2035年）》，按照《城市居住区规划设计标准》和《社区生活圈规划技术指南》要求，配置与不同层级的社区生活圈相对应的养老服务设施（包括养老院、老年养护院等），</w:t>
      </w:r>
      <w:r>
        <w:rPr>
          <w:rFonts w:hint="eastAsia" w:ascii="仿宋_GB2312" w:hAnsi="仿宋_GB2312" w:eastAsia="仿宋_GB2312" w:cs="仿宋_GB2312"/>
          <w:color w:val="auto"/>
          <w:sz w:val="32"/>
          <w:szCs w:val="32"/>
          <w:lang w:eastAsia="zh-CN"/>
        </w:rPr>
        <w:t>加强与相关规划衔接，督促保障养老服务设施项目落地实施。</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责任单位：市规自局、市民政局、市退役军人事务局，</w:t>
      </w:r>
      <w:r>
        <w:rPr>
          <w:rFonts w:hint="eastAsia" w:ascii="黑体" w:hAnsi="黑体" w:eastAsia="黑体" w:cs="黑体"/>
          <w:color w:val="000000"/>
          <w:sz w:val="32"/>
          <w:szCs w:val="32"/>
        </w:rPr>
        <w:t>各县（市）区人民政府</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开发区管委</w:t>
      </w:r>
      <w:r>
        <w:rPr>
          <w:rFonts w:hint="eastAsia" w:ascii="黑体" w:hAnsi="黑体" w:eastAsia="黑体" w:cs="黑体"/>
          <w:color w:val="000000"/>
          <w:sz w:val="32"/>
          <w:szCs w:val="32"/>
          <w:lang w:eastAsia="zh-CN"/>
        </w:rPr>
        <w:t>会</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b/>
          <w:bCs/>
          <w:snapToGrid w:val="0"/>
          <w:color w:val="000000"/>
          <w:kern w:val="0"/>
          <w:sz w:val="32"/>
          <w:szCs w:val="32"/>
          <w:lang w:val="en-US" w:eastAsia="zh-CN"/>
        </w:rPr>
        <w:t>17.落实新建居住区养老服务设施配建。</w:t>
      </w:r>
      <w:r>
        <w:rPr>
          <w:rFonts w:hint="eastAsia" w:ascii="仿宋_GB2312" w:hAnsi="仿宋_GB2312" w:eastAsia="仿宋_GB2312" w:cs="仿宋_GB2312"/>
          <w:snapToGrid w:val="0"/>
          <w:color w:val="000000"/>
          <w:kern w:val="0"/>
          <w:sz w:val="32"/>
          <w:szCs w:val="32"/>
          <w:lang w:val="en-US" w:eastAsia="zh-CN"/>
        </w:rPr>
        <w:t>贯彻落实《长春市新建住宅小区社区居家养老服务用房配建移交管理办法》，按照人均用地面积不少于0.12平方米、建筑面积每百户不少于30平方米、单体用房面积不少于300平方米标准，分区分级规划设置社区养老服务设施。确保新建居住区与配套养老服务设施同步规划、同步建设、同步验收、同步交付。到2025年底，新建居住区配建养老服务设施达标率达到100%。</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责任单位：市民政局、市规自局、市建委、市房管局，各县（市）区人民政府、开发区管委会</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snapToGrid w:val="0"/>
          <w:color w:val="000000"/>
          <w:kern w:val="0"/>
          <w:sz w:val="32"/>
          <w:szCs w:val="32"/>
          <w:lang w:val="en-US" w:eastAsia="zh-CN"/>
        </w:rPr>
        <w:t>18.</w:t>
      </w:r>
      <w:r>
        <w:rPr>
          <w:rFonts w:hint="eastAsia" w:ascii="仿宋_GB2312" w:hAnsi="仿宋_GB2312" w:eastAsia="仿宋_GB2312" w:cs="仿宋_GB2312"/>
          <w:b/>
          <w:bCs/>
          <w:sz w:val="32"/>
          <w:szCs w:val="32"/>
          <w:lang w:eastAsia="zh-CN"/>
        </w:rPr>
        <w:t>强化</w:t>
      </w:r>
      <w:r>
        <w:rPr>
          <w:rFonts w:hint="eastAsia" w:ascii="仿宋_GB2312" w:hAnsi="仿宋_GB2312" w:eastAsia="仿宋_GB2312" w:cs="仿宋_GB2312"/>
          <w:b/>
          <w:bCs/>
          <w:sz w:val="32"/>
          <w:szCs w:val="32"/>
        </w:rPr>
        <w:t>公办养老机构提供基本养老服务的基础作用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贯彻落实《长春市公办养老机构管理办法》，</w:t>
      </w:r>
      <w:r>
        <w:rPr>
          <w:rFonts w:hint="eastAsia" w:ascii="仿宋_GB2312" w:hAnsi="仿宋_GB2312" w:eastAsia="仿宋_GB2312" w:cs="仿宋_GB2312"/>
          <w:bCs/>
          <w:color w:val="auto"/>
          <w:sz w:val="32"/>
          <w:szCs w:val="32"/>
          <w:highlight w:val="none"/>
          <w:lang w:val="en-US" w:eastAsia="zh-CN"/>
        </w:rPr>
        <w:t>对有集中供养意愿的分散供养特困人员全面落实应养尽养。</w:t>
      </w:r>
      <w:r>
        <w:rPr>
          <w:rFonts w:hint="eastAsia" w:ascii="仿宋_GB2312" w:hAnsi="仿宋_GB2312" w:eastAsia="仿宋_GB2312" w:cs="仿宋_GB2312"/>
          <w:color w:val="auto"/>
          <w:sz w:val="32"/>
          <w:szCs w:val="32"/>
          <w:lang w:val="en-US" w:eastAsia="zh-CN"/>
        </w:rPr>
        <w:t>在确保满足特困人员供养需求的基础上，仍有空余床位的，鼓励向社会开放，提供有偿托养服务，优先满足</w:t>
      </w:r>
      <w:r>
        <w:rPr>
          <w:rFonts w:hint="eastAsia" w:ascii="仿宋_GB2312" w:hAnsi="仿宋_GB2312" w:eastAsia="仿宋_GB2312" w:cs="仿宋_GB2312"/>
          <w:color w:val="auto"/>
          <w:sz w:val="32"/>
          <w:szCs w:val="32"/>
        </w:rPr>
        <w:t>低保和低保边缘家庭的</w:t>
      </w:r>
      <w:r>
        <w:rPr>
          <w:rFonts w:hint="eastAsia" w:ascii="仿宋_GB2312" w:hAnsi="仿宋_GB2312" w:eastAsia="仿宋_GB2312" w:cs="仿宋_GB2312"/>
          <w:color w:val="auto"/>
          <w:sz w:val="32"/>
          <w:szCs w:val="32"/>
          <w:lang w:eastAsia="zh-CN"/>
        </w:rPr>
        <w:t>中度及以上级别</w:t>
      </w:r>
      <w:r>
        <w:rPr>
          <w:rFonts w:hint="eastAsia" w:ascii="仿宋_GB2312" w:hAnsi="仿宋_GB2312" w:eastAsia="仿宋_GB2312" w:cs="仿宋_GB2312"/>
          <w:color w:val="auto"/>
          <w:sz w:val="32"/>
          <w:szCs w:val="32"/>
        </w:rPr>
        <w:t>失能（含失智）、孤寡、残疾、高龄老年人以及计划生育特殊家庭老年人</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现役军人家属和烈士、因公牺牲军人、病故军人遗属</w:t>
      </w:r>
      <w:r>
        <w:rPr>
          <w:rFonts w:hint="eastAsia" w:ascii="仿宋_GB2312" w:hAnsi="仿宋_GB2312" w:eastAsia="仿宋_GB2312" w:cs="仿宋_GB2312"/>
          <w:color w:val="auto"/>
          <w:sz w:val="32"/>
          <w:szCs w:val="32"/>
          <w:lang w:eastAsia="zh-CN"/>
        </w:rPr>
        <w:t>中的中度及以上级别</w:t>
      </w:r>
      <w:r>
        <w:rPr>
          <w:rFonts w:hint="eastAsia" w:ascii="仿宋_GB2312" w:hAnsi="仿宋_GB2312" w:eastAsia="仿宋_GB2312" w:cs="仿宋_GB2312"/>
          <w:color w:val="auto"/>
          <w:sz w:val="32"/>
          <w:szCs w:val="32"/>
        </w:rPr>
        <w:t>失能（含失智）</w:t>
      </w:r>
      <w:r>
        <w:rPr>
          <w:rFonts w:hint="eastAsia" w:ascii="仿宋_GB2312" w:hAnsi="仿宋_GB2312" w:eastAsia="仿宋_GB2312" w:cs="仿宋_GB2312"/>
          <w:color w:val="auto"/>
          <w:sz w:val="32"/>
          <w:szCs w:val="32"/>
          <w:lang w:eastAsia="zh-CN"/>
        </w:rPr>
        <w:t>人员的养老服务需求。</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rPr>
      </w:pPr>
      <w:r>
        <w:rPr>
          <w:rFonts w:hint="eastAsia" w:ascii="黑体" w:hAnsi="黑体" w:eastAsia="黑体" w:cs="黑体"/>
          <w:bCs/>
          <w:color w:val="auto"/>
          <w:sz w:val="32"/>
          <w:szCs w:val="32"/>
          <w:highlight w:val="none"/>
          <w:lang w:val="en-US" w:eastAsia="zh-CN"/>
        </w:rPr>
        <w:t>责任单位：市民政局、市退役军人事务局</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19.</w:t>
      </w:r>
      <w:r>
        <w:rPr>
          <w:rFonts w:hint="eastAsia" w:ascii="仿宋_GB2312" w:hAnsi="仿宋_GB2312" w:eastAsia="仿宋_GB2312" w:cs="仿宋_GB2312"/>
          <w:b/>
          <w:bCs/>
          <w:color w:val="auto"/>
          <w:sz w:val="32"/>
          <w:szCs w:val="32"/>
          <w:highlight w:val="none"/>
          <w:lang w:eastAsia="zh-CN"/>
        </w:rPr>
        <w:t>推进</w:t>
      </w:r>
      <w:r>
        <w:rPr>
          <w:rFonts w:hint="eastAsia" w:ascii="仿宋_GB2312" w:hAnsi="仿宋_GB2312" w:eastAsia="仿宋_GB2312" w:cs="仿宋_GB2312"/>
          <w:b/>
          <w:bCs/>
          <w:color w:val="auto"/>
          <w:sz w:val="32"/>
          <w:szCs w:val="32"/>
          <w:highlight w:val="none"/>
        </w:rPr>
        <w:t>公办养老机构</w:t>
      </w:r>
      <w:r>
        <w:rPr>
          <w:rFonts w:hint="eastAsia" w:ascii="仿宋_GB2312" w:hAnsi="仿宋_GB2312" w:eastAsia="仿宋_GB2312" w:cs="仿宋_GB2312"/>
          <w:b/>
          <w:bCs/>
          <w:color w:val="auto"/>
          <w:sz w:val="32"/>
          <w:szCs w:val="32"/>
          <w:highlight w:val="none"/>
          <w:lang w:eastAsia="zh-CN"/>
        </w:rPr>
        <w:t>规范化建设。</w:t>
      </w:r>
      <w:r>
        <w:rPr>
          <w:rFonts w:hint="eastAsia" w:ascii="仿宋_GB2312" w:hAnsi="仿宋_GB2312" w:eastAsia="仿宋_GB2312" w:cs="仿宋_GB2312"/>
          <w:sz w:val="32"/>
          <w:szCs w:val="32"/>
        </w:rPr>
        <w:t>公办养老机构应当按照建筑、安全、消防、食品、卫生、财务、档案等法律法规和强制性标准开展服务活动。</w:t>
      </w:r>
      <w:r>
        <w:rPr>
          <w:rFonts w:hint="eastAsia" w:ascii="仿宋_GB2312" w:hAnsi="仿宋_GB2312" w:eastAsia="仿宋_GB2312" w:cs="仿宋_GB2312"/>
          <w:color w:val="auto"/>
          <w:sz w:val="32"/>
          <w:szCs w:val="24"/>
          <w:highlight w:val="none"/>
        </w:rPr>
        <w:t>建立公办养老机构入住评估管理制度，</w:t>
      </w:r>
      <w:r>
        <w:rPr>
          <w:rFonts w:hint="eastAsia" w:ascii="仿宋_GB2312" w:hAnsi="仿宋_GB2312" w:eastAsia="仿宋_GB2312" w:cs="仿宋_GB2312"/>
          <w:color w:val="auto"/>
          <w:sz w:val="32"/>
          <w:szCs w:val="32"/>
          <w:highlight w:val="none"/>
        </w:rPr>
        <w:t>明确老年人入住条件和排序原则。</w:t>
      </w:r>
      <w:r>
        <w:rPr>
          <w:rFonts w:hint="eastAsia" w:ascii="仿宋_GB2312" w:hAnsi="仿宋_GB2312" w:eastAsia="仿宋_GB2312" w:cs="仿宋_GB2312"/>
          <w:color w:val="auto"/>
          <w:sz w:val="32"/>
          <w:szCs w:val="32"/>
          <w:highlight w:val="none"/>
          <w:lang w:eastAsia="zh-CN"/>
        </w:rPr>
        <w:t>开展养老机构等级评定工作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持续推动公办</w:t>
      </w:r>
      <w:r>
        <w:rPr>
          <w:rFonts w:hint="eastAsia" w:ascii="仿宋_GB2312" w:hAnsi="仿宋_GB2312" w:eastAsia="仿宋_GB2312" w:cs="仿宋_GB2312"/>
          <w:snapToGrid w:val="0"/>
          <w:color w:val="auto"/>
          <w:kern w:val="0"/>
          <w:sz w:val="32"/>
          <w:szCs w:val="32"/>
          <w:highlight w:val="none"/>
          <w:lang w:val="en-US" w:eastAsia="zh-CN"/>
        </w:rPr>
        <w:t>养老机构综合责任保险实施，全面提升公办养老机构抵御运营风险能力。</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color w:val="auto"/>
          <w:sz w:val="32"/>
          <w:szCs w:val="32"/>
          <w:highlight w:val="none"/>
          <w:lang w:eastAsia="zh-CN"/>
        </w:rPr>
      </w:pPr>
      <w:r>
        <w:rPr>
          <w:rFonts w:hint="eastAsia" w:ascii="黑体" w:hAnsi="黑体" w:eastAsia="黑体" w:cs="黑体"/>
          <w:color w:val="auto"/>
          <w:sz w:val="32"/>
          <w:szCs w:val="32"/>
          <w:highlight w:val="none"/>
          <w:lang w:eastAsia="zh-CN"/>
        </w:rPr>
        <w:t>责任</w:t>
      </w:r>
      <w:r>
        <w:rPr>
          <w:rFonts w:hint="eastAsia" w:ascii="黑体" w:hAnsi="黑体" w:eastAsia="黑体" w:cs="黑体"/>
          <w:bCs/>
          <w:color w:val="auto"/>
          <w:sz w:val="32"/>
          <w:szCs w:val="32"/>
          <w:highlight w:val="none"/>
          <w:lang w:eastAsia="zh-CN"/>
        </w:rPr>
        <w:t>单位：市</w:t>
      </w:r>
      <w:r>
        <w:rPr>
          <w:rFonts w:hint="eastAsia" w:ascii="黑体" w:hAnsi="黑体" w:eastAsia="黑体" w:cs="黑体"/>
          <w:bCs/>
          <w:color w:val="auto"/>
          <w:sz w:val="32"/>
          <w:szCs w:val="32"/>
          <w:highlight w:val="none"/>
        </w:rPr>
        <w:t>民政</w:t>
      </w:r>
      <w:r>
        <w:rPr>
          <w:rFonts w:hint="eastAsia" w:ascii="黑体" w:hAnsi="黑体" w:eastAsia="黑体" w:cs="黑体"/>
          <w:bCs/>
          <w:color w:val="auto"/>
          <w:sz w:val="32"/>
          <w:szCs w:val="32"/>
          <w:highlight w:val="none"/>
          <w:lang w:eastAsia="zh-CN"/>
        </w:rPr>
        <w:t>局</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积极推进公办养老机构</w:t>
      </w:r>
      <w:r>
        <w:rPr>
          <w:rFonts w:hint="eastAsia" w:ascii="仿宋_GB2312" w:hAnsi="仿宋_GB2312" w:eastAsia="仿宋_GB2312" w:cs="仿宋_GB2312"/>
          <w:b/>
          <w:bCs/>
          <w:sz w:val="32"/>
          <w:szCs w:val="32"/>
          <w:lang w:eastAsia="zh-CN"/>
        </w:rPr>
        <w:t>高质量发展。</w:t>
      </w:r>
      <w:r>
        <w:rPr>
          <w:rFonts w:hint="eastAsia" w:ascii="仿宋_GB2312" w:hAnsi="仿宋_GB2312" w:eastAsia="仿宋_GB2312" w:cs="仿宋_GB2312"/>
          <w:sz w:val="32"/>
          <w:szCs w:val="32"/>
          <w:lang w:val="en-US" w:eastAsia="zh-CN"/>
        </w:rPr>
        <w:t>做好养老领域项目谋划储备及审批工作，</w:t>
      </w:r>
      <w:r>
        <w:rPr>
          <w:rFonts w:hint="eastAsia" w:ascii="仿宋_GB2312" w:hAnsi="仿宋_GB2312" w:eastAsia="仿宋_GB2312" w:cs="仿宋_GB2312"/>
          <w:sz w:val="32"/>
          <w:szCs w:val="32"/>
          <w:lang w:eastAsia="zh-CN"/>
        </w:rPr>
        <w:t>支持新建面向失能老年人的公办养老机构。加大存量公办养老服务设施改造，</w:t>
      </w:r>
      <w:r>
        <w:rPr>
          <w:rFonts w:hint="eastAsia" w:ascii="仿宋_GB2312" w:hAnsi="仿宋_GB2312" w:eastAsia="仿宋_GB2312" w:cs="仿宋_GB2312"/>
          <w:sz w:val="32"/>
          <w:szCs w:val="32"/>
          <w:lang w:val="en-US" w:eastAsia="zh-CN"/>
        </w:rPr>
        <w:t>增加护理型床位，</w:t>
      </w:r>
      <w:r>
        <w:rPr>
          <w:rFonts w:hint="eastAsia" w:ascii="仿宋_GB2312" w:hAnsi="仿宋_GB2312" w:eastAsia="仿宋_GB2312" w:cs="仿宋_GB2312"/>
          <w:sz w:val="32"/>
          <w:szCs w:val="32"/>
          <w:lang w:eastAsia="zh-CN"/>
        </w:rPr>
        <w:t>开展失智老年人照护专区试点建设</w:t>
      </w:r>
      <w:r>
        <w:rPr>
          <w:rFonts w:hint="eastAsia" w:ascii="仿宋_GB2312" w:hAnsi="仿宋_GB2312" w:eastAsia="仿宋_GB2312" w:cs="仿宋_GB2312"/>
          <w:sz w:val="32"/>
          <w:szCs w:val="32"/>
          <w:lang w:val="en-US" w:eastAsia="zh-CN"/>
        </w:rPr>
        <w:t>,到2025年底，全市公办养老机构护理型床位占比不低于60%</w:t>
      </w:r>
      <w:r>
        <w:rPr>
          <w:rFonts w:hint="eastAsia" w:ascii="仿宋_GB2312" w:hAnsi="仿宋_GB2312" w:eastAsia="仿宋_GB2312" w:cs="仿宋_GB2312"/>
          <w:sz w:val="32"/>
          <w:szCs w:val="32"/>
          <w:lang w:eastAsia="zh-CN"/>
        </w:rPr>
        <w:t>，失智老年人照护床位数不少于</w:t>
      </w:r>
      <w:r>
        <w:rPr>
          <w:rFonts w:hint="eastAsia" w:ascii="仿宋_GB2312" w:hAnsi="仿宋_GB2312"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lang w:eastAsia="zh-CN"/>
        </w:rPr>
        <w:t>张。</w:t>
      </w:r>
      <w:r>
        <w:rPr>
          <w:rFonts w:hint="eastAsia" w:ascii="仿宋_GB2312" w:hAnsi="仿宋_GB2312" w:eastAsia="仿宋_GB2312" w:cs="仿宋_GB2312"/>
          <w:sz w:val="32"/>
          <w:szCs w:val="32"/>
          <w:lang w:eastAsia="zh-CN"/>
        </w:rPr>
        <w:t>坚持公办养老机构公益属性，</w:t>
      </w:r>
      <w:r>
        <w:rPr>
          <w:rFonts w:hint="eastAsia" w:ascii="仿宋_GB2312" w:hAnsi="仿宋_GB2312" w:eastAsia="仿宋_GB2312" w:cs="仿宋_GB2312"/>
          <w:color w:val="auto"/>
          <w:sz w:val="32"/>
          <w:szCs w:val="32"/>
          <w:lang w:eastAsia="zh-CN"/>
        </w:rPr>
        <w:t>在不改变权属的情况下，可</w:t>
      </w:r>
      <w:r>
        <w:rPr>
          <w:rFonts w:hint="eastAsia" w:ascii="仿宋_GB2312" w:hAnsi="仿宋_GB2312" w:eastAsia="仿宋_GB2312" w:cs="仿宋_GB2312"/>
          <w:color w:val="auto"/>
          <w:sz w:val="32"/>
          <w:szCs w:val="32"/>
        </w:rPr>
        <w:t>采取委托管理、租赁经营等方式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引进第三方运营机构参与公办养老机构项目建设和管理，鼓励</w:t>
      </w:r>
      <w:r>
        <w:rPr>
          <w:rFonts w:hint="eastAsia" w:ascii="仿宋_GB2312" w:hAnsi="仿宋_GB2312" w:eastAsia="仿宋_GB2312" w:cs="仿宋_GB2312"/>
          <w:sz w:val="32"/>
          <w:szCs w:val="32"/>
        </w:rPr>
        <w:t>规模化、</w:t>
      </w:r>
      <w:r>
        <w:rPr>
          <w:rFonts w:hint="eastAsia" w:ascii="仿宋_GB2312" w:hAnsi="仿宋_GB2312" w:eastAsia="仿宋_GB2312" w:cs="仿宋_GB2312"/>
          <w:sz w:val="32"/>
          <w:szCs w:val="32"/>
          <w:lang w:eastAsia="zh-CN"/>
        </w:rPr>
        <w:t>连锁化运营。</w:t>
      </w:r>
      <w:r>
        <w:rPr>
          <w:rFonts w:hint="eastAsia" w:ascii="仿宋_GB2312" w:hAnsi="仿宋_GB2312" w:eastAsia="仿宋_GB2312" w:cs="仿宋_GB2312"/>
          <w:color w:val="auto"/>
          <w:sz w:val="32"/>
          <w:szCs w:val="32"/>
          <w:highlight w:val="none"/>
          <w:lang w:val="en-US" w:eastAsia="zh-CN"/>
        </w:rPr>
        <w:t>加强农村养老大院和互助养老站点建设，</w:t>
      </w:r>
      <w:r>
        <w:rPr>
          <w:rFonts w:hint="eastAsia" w:ascii="仿宋_GB2312" w:hAnsi="仿宋_GB2312" w:eastAsia="仿宋_GB2312" w:cs="仿宋_GB2312"/>
          <w:color w:val="auto"/>
          <w:sz w:val="32"/>
          <w:szCs w:val="32"/>
          <w:highlight w:val="none"/>
          <w:lang w:eastAsia="zh-CN"/>
        </w:rPr>
        <w:t>按照</w:t>
      </w:r>
      <w:r>
        <w:rPr>
          <w:rFonts w:hint="eastAsia" w:ascii="仿宋_GB2312" w:hAnsi="仿宋_GB2312" w:eastAsia="仿宋_GB2312" w:cs="仿宋_GB2312"/>
          <w:color w:val="auto"/>
          <w:sz w:val="32"/>
          <w:szCs w:val="32"/>
          <w:highlight w:val="none"/>
        </w:rPr>
        <w:t>区域特点</w:t>
      </w:r>
      <w:r>
        <w:rPr>
          <w:rFonts w:hint="eastAsia" w:ascii="仿宋_GB2312" w:hAnsi="仿宋_GB2312" w:eastAsia="仿宋_GB2312" w:cs="仿宋_GB2312"/>
          <w:color w:val="auto"/>
          <w:sz w:val="32"/>
          <w:szCs w:val="32"/>
          <w:highlight w:val="none"/>
          <w:lang w:eastAsia="zh-CN"/>
        </w:rPr>
        <w:t>推广</w:t>
      </w:r>
      <w:r>
        <w:rPr>
          <w:rFonts w:hint="eastAsia" w:ascii="仿宋_GB2312" w:hAnsi="仿宋_GB2312" w:eastAsia="仿宋_GB2312" w:cs="仿宋_GB2312"/>
          <w:color w:val="auto"/>
          <w:sz w:val="32"/>
          <w:szCs w:val="32"/>
          <w:highlight w:val="none"/>
        </w:rPr>
        <w:t>各类实用性强、发展可持续的互助养老模式。</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color w:val="auto"/>
          <w:sz w:val="32"/>
          <w:szCs w:val="32"/>
          <w:highlight w:val="none"/>
          <w:lang w:eastAsia="zh-CN"/>
        </w:rPr>
      </w:pPr>
      <w:r>
        <w:rPr>
          <w:rFonts w:hint="eastAsia" w:ascii="黑体" w:hAnsi="黑体" w:eastAsia="黑体" w:cs="黑体"/>
          <w:color w:val="auto"/>
          <w:sz w:val="32"/>
          <w:szCs w:val="32"/>
          <w:highlight w:val="none"/>
          <w:lang w:eastAsia="zh-CN"/>
        </w:rPr>
        <w:t>责任单位：市</w:t>
      </w:r>
      <w:r>
        <w:rPr>
          <w:rFonts w:hint="eastAsia" w:ascii="黑体" w:hAnsi="黑体" w:eastAsia="黑体" w:cs="黑体"/>
          <w:color w:val="auto"/>
          <w:sz w:val="32"/>
          <w:szCs w:val="32"/>
          <w:highlight w:val="none"/>
        </w:rPr>
        <w:t>发改委、</w:t>
      </w:r>
      <w:r>
        <w:rPr>
          <w:rFonts w:hint="eastAsia" w:ascii="黑体" w:hAnsi="黑体" w:eastAsia="黑体" w:cs="黑体"/>
          <w:bCs/>
          <w:color w:val="auto"/>
          <w:sz w:val="32"/>
          <w:szCs w:val="32"/>
          <w:highlight w:val="none"/>
          <w:lang w:eastAsia="zh-CN"/>
        </w:rPr>
        <w:t>市</w:t>
      </w:r>
      <w:r>
        <w:rPr>
          <w:rFonts w:hint="eastAsia" w:ascii="黑体" w:hAnsi="黑体" w:eastAsia="黑体" w:cs="黑体"/>
          <w:bCs/>
          <w:color w:val="auto"/>
          <w:sz w:val="32"/>
          <w:szCs w:val="32"/>
          <w:highlight w:val="none"/>
        </w:rPr>
        <w:t>民政</w:t>
      </w:r>
      <w:r>
        <w:rPr>
          <w:rFonts w:hint="eastAsia" w:ascii="黑体" w:hAnsi="黑体" w:eastAsia="黑体" w:cs="黑体"/>
          <w:bCs/>
          <w:color w:val="auto"/>
          <w:sz w:val="32"/>
          <w:szCs w:val="32"/>
          <w:highlight w:val="none"/>
          <w:lang w:eastAsia="zh-CN"/>
        </w:rPr>
        <w:t>局</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highlight w:val="none"/>
          <w:lang w:val="en-US" w:eastAsia="zh-CN"/>
        </w:rPr>
        <w:t>21.完善光荣院服务机制和布局。</w:t>
      </w:r>
      <w:r>
        <w:rPr>
          <w:rFonts w:hint="eastAsia" w:ascii="仿宋_GB2312" w:hAnsi="仿宋_GB2312" w:eastAsia="仿宋_GB2312" w:cs="仿宋_GB2312"/>
          <w:color w:val="auto"/>
          <w:sz w:val="32"/>
          <w:szCs w:val="32"/>
          <w:highlight w:val="none"/>
          <w:lang w:val="en-US" w:eastAsia="zh-CN"/>
        </w:rPr>
        <w:t>贯彻落实国家标准和要求，统筹规划光荣院建设。完善光荣院配套设施建设，规范专业服务水平，积极探索管理模式。光荣院在保障好集中供养对象的前提下，可利用空余床位为其他无法定赡养人、抚养人或者法定赡养人、扶养人无赡养、扶养能力的老年优待抚恤对象提供优惠服务。</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lang w:val="en-US" w:eastAsia="zh-CN"/>
        </w:rPr>
      </w:pPr>
      <w:r>
        <w:rPr>
          <w:rFonts w:hint="eastAsia" w:ascii="黑体" w:hAnsi="黑体" w:eastAsia="黑体" w:cs="黑体"/>
          <w:bCs/>
          <w:color w:val="auto"/>
          <w:sz w:val="32"/>
          <w:szCs w:val="32"/>
          <w:highlight w:val="none"/>
          <w:lang w:val="en-US" w:eastAsia="zh-CN"/>
        </w:rPr>
        <w:t>责任单位：市退役军人事务局</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22.</w:t>
      </w:r>
      <w:r>
        <w:rPr>
          <w:rFonts w:hint="eastAsia" w:ascii="仿宋_GB2312" w:hAnsi="仿宋_GB2312" w:eastAsia="仿宋_GB2312" w:cs="仿宋_GB2312"/>
          <w:b/>
          <w:bCs/>
          <w:color w:val="auto"/>
          <w:spacing w:val="-8"/>
          <w:sz w:val="32"/>
          <w:szCs w:val="32"/>
        </w:rPr>
        <w:t>鼓励支持党政机关和国有企事业单位所属培训疗养机构转型</w:t>
      </w:r>
      <w:r>
        <w:rPr>
          <w:rFonts w:hint="eastAsia" w:ascii="仿宋_GB2312" w:hAnsi="仿宋_GB2312" w:eastAsia="仿宋_GB2312" w:cs="仿宋_GB2312"/>
          <w:b/>
          <w:bCs/>
          <w:color w:val="auto"/>
          <w:spacing w:val="-9"/>
          <w:sz w:val="32"/>
          <w:szCs w:val="32"/>
        </w:rPr>
        <w:t>为普惠型养老服务设施。</w:t>
      </w:r>
      <w:r>
        <w:rPr>
          <w:rFonts w:hint="eastAsia" w:ascii="仿宋_GB2312" w:hAnsi="仿宋_GB2312" w:eastAsia="仿宋_GB2312" w:cs="仿宋_GB2312"/>
          <w:snapToGrid w:val="0"/>
          <w:color w:val="auto"/>
          <w:kern w:val="0"/>
          <w:sz w:val="32"/>
          <w:szCs w:val="32"/>
          <w:lang w:val="en-US" w:eastAsia="zh-CN"/>
        </w:rPr>
        <w:t>结合培训疗养机构实际情况分别制定改革方案，有序推进全市符合条件的党政机关和国有企事业单位培训疗养机构转型为养老机构，增加老年服务设施供给，</w:t>
      </w:r>
      <w:r>
        <w:rPr>
          <w:rFonts w:hint="eastAsia" w:ascii="仿宋_GB2312" w:hAnsi="仿宋_GB2312" w:eastAsia="仿宋_GB2312" w:cs="仿宋_GB2312"/>
          <w:b w:val="0"/>
          <w:bCs w:val="0"/>
          <w:color w:val="auto"/>
          <w:kern w:val="2"/>
          <w:sz w:val="32"/>
          <w:szCs w:val="32"/>
          <w:lang w:val="en-US" w:eastAsia="zh-CN" w:bidi="ar"/>
        </w:rPr>
        <w:t>提升转型后养老机构服务质量。适时推动市国资委监管企业接收的且符合条件的党政机关和国有企事业单位所属培训疗养机构实现规模化、品牌化、专业化运营，建设舒适普惠的颐养基地。</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责任单位：市发改委、市民政局、市国资委</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color w:val="auto"/>
          <w:sz w:val="32"/>
          <w:szCs w:val="32"/>
          <w:highlight w:val="none"/>
        </w:rPr>
        <w:t>加大国有经济对养老服务的支持力度</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sz w:val="32"/>
          <w:szCs w:val="32"/>
          <w:highlight w:val="none"/>
          <w:lang w:val="en-US" w:eastAsia="zh-CN"/>
        </w:rPr>
        <w:t>积极推动国有企业兴办养老机构，对于符合条件的养老领域项目，积极争取中央预算内等上级资金支持项目建设。</w:t>
      </w:r>
      <w:r>
        <w:rPr>
          <w:rFonts w:hint="eastAsia" w:ascii="仿宋_GB2312" w:hAnsi="仿宋_GB2312" w:eastAsia="仿宋_GB2312" w:cs="仿宋_GB2312"/>
          <w:color w:val="auto"/>
          <w:sz w:val="32"/>
          <w:szCs w:val="32"/>
          <w:highlight w:val="none"/>
        </w:rPr>
        <w:t>国有企业兴办养老机构，</w:t>
      </w:r>
      <w:r>
        <w:rPr>
          <w:rFonts w:hint="eastAsia" w:ascii="仿宋_GB2312" w:hAnsi="仿宋_GB2312" w:eastAsia="仿宋_GB2312" w:cs="仿宋_GB2312"/>
          <w:color w:val="auto"/>
          <w:sz w:val="32"/>
          <w:szCs w:val="32"/>
          <w:highlight w:val="none"/>
          <w:lang w:eastAsia="zh-CN"/>
        </w:rPr>
        <w:t>依法依规</w:t>
      </w:r>
      <w:r>
        <w:rPr>
          <w:rFonts w:hint="eastAsia" w:ascii="仿宋_GB2312" w:hAnsi="仿宋_GB2312" w:eastAsia="仿宋_GB2312" w:cs="仿宋_GB2312"/>
          <w:color w:val="auto"/>
          <w:sz w:val="32"/>
          <w:szCs w:val="32"/>
          <w:highlight w:val="none"/>
        </w:rPr>
        <w:t>享受社会力量参与养老服务的支持政策。发挥国有企业资源优势，在旅养、康养等领域提供差异化供给。</w:t>
      </w:r>
      <w:r>
        <w:rPr>
          <w:rFonts w:hint="eastAsia" w:ascii="仿宋_GB2312" w:hAnsi="仿宋_GB2312" w:eastAsia="仿宋_GB2312" w:cs="仿宋_GB2312"/>
          <w:color w:val="auto"/>
          <w:sz w:val="32"/>
          <w:szCs w:val="32"/>
          <w:highlight w:val="none"/>
          <w:lang w:eastAsia="zh-CN"/>
        </w:rPr>
        <w:t>探</w:t>
      </w:r>
      <w:r>
        <w:rPr>
          <w:rFonts w:hint="eastAsia" w:ascii="仿宋_GB2312" w:hAnsi="仿宋_GB2312" w:eastAsia="仿宋_GB2312" w:cs="仿宋_GB2312"/>
          <w:sz w:val="32"/>
          <w:szCs w:val="32"/>
          <w:highlight w:val="none"/>
          <w:lang w:eastAsia="zh-CN"/>
        </w:rPr>
        <w:t>索建立城市养老服务联合体，构建城市养老服务骨干网，发挥优势资源的核心带动作用，提升基层养老服务</w:t>
      </w:r>
      <w:r>
        <w:rPr>
          <w:rFonts w:hint="eastAsia" w:ascii="仿宋_GB2312" w:hAnsi="仿宋_GB2312" w:eastAsia="仿宋_GB2312" w:cs="仿宋_GB2312"/>
          <w:sz w:val="32"/>
          <w:szCs w:val="32"/>
          <w:lang w:eastAsia="zh-CN"/>
        </w:rPr>
        <w:t>能力。</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color w:val="auto"/>
          <w:sz w:val="32"/>
          <w:szCs w:val="32"/>
          <w:highlight w:val="none"/>
        </w:rPr>
      </w:pPr>
      <w:r>
        <w:rPr>
          <w:rFonts w:hint="eastAsia" w:ascii="黑体" w:hAnsi="黑体" w:eastAsia="黑体" w:cs="黑体"/>
          <w:color w:val="auto"/>
          <w:sz w:val="32"/>
          <w:szCs w:val="32"/>
          <w:highlight w:val="none"/>
          <w:lang w:eastAsia="zh-CN"/>
        </w:rPr>
        <w:t>责任单位：市</w:t>
      </w:r>
      <w:r>
        <w:rPr>
          <w:rFonts w:hint="eastAsia" w:ascii="黑体" w:hAnsi="黑体" w:eastAsia="黑体" w:cs="黑体"/>
          <w:color w:val="auto"/>
          <w:sz w:val="32"/>
          <w:szCs w:val="32"/>
          <w:highlight w:val="none"/>
        </w:rPr>
        <w:t>发改委、</w:t>
      </w:r>
      <w:r>
        <w:rPr>
          <w:rFonts w:hint="eastAsia" w:ascii="黑体" w:hAnsi="黑体" w:eastAsia="黑体" w:cs="黑体"/>
          <w:bCs/>
          <w:color w:val="auto"/>
          <w:sz w:val="32"/>
          <w:szCs w:val="32"/>
          <w:highlight w:val="none"/>
          <w:lang w:eastAsia="zh-CN"/>
        </w:rPr>
        <w:t>市民政局</w:t>
      </w:r>
      <w:r>
        <w:rPr>
          <w:rFonts w:hint="eastAsia" w:ascii="黑体" w:hAnsi="黑体" w:eastAsia="黑体" w:cs="黑体"/>
          <w:bCs/>
          <w:color w:val="auto"/>
          <w:sz w:val="32"/>
          <w:szCs w:val="32"/>
          <w:highlight w:val="none"/>
        </w:rPr>
        <w:t>、</w:t>
      </w:r>
      <w:r>
        <w:rPr>
          <w:rFonts w:hint="eastAsia" w:ascii="黑体" w:hAnsi="黑体" w:eastAsia="黑体" w:cs="黑体"/>
          <w:bCs/>
          <w:color w:val="auto"/>
          <w:sz w:val="32"/>
          <w:szCs w:val="32"/>
          <w:highlight w:val="none"/>
          <w:lang w:eastAsia="zh-CN"/>
        </w:rPr>
        <w:t>市</w:t>
      </w:r>
      <w:r>
        <w:rPr>
          <w:rFonts w:hint="eastAsia" w:ascii="黑体" w:hAnsi="黑体" w:eastAsia="黑体" w:cs="黑体"/>
          <w:bCs/>
          <w:color w:val="auto"/>
          <w:sz w:val="32"/>
          <w:szCs w:val="32"/>
          <w:highlight w:val="none"/>
        </w:rPr>
        <w:t>国资委</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楷体_GB2312" w:hAnsi="楷体_GB2312" w:eastAsia="楷体_GB2312" w:cs="楷体_GB2312"/>
          <w:b/>
          <w:bCs/>
          <w:strike w:val="0"/>
          <w:dstrike w:val="0"/>
          <w:color w:val="auto"/>
          <w:sz w:val="32"/>
          <w:szCs w:val="32"/>
          <w:highlight w:val="none"/>
          <w:lang w:val="en-US" w:eastAsia="zh-CN"/>
        </w:rPr>
      </w:pPr>
      <w:r>
        <w:rPr>
          <w:rFonts w:hint="eastAsia" w:ascii="楷体_GB2312" w:hAnsi="楷体_GB2312" w:eastAsia="楷体_GB2312" w:cs="楷体_GB2312"/>
          <w:b/>
          <w:bCs/>
          <w:strike w:val="0"/>
          <w:dstrike w:val="0"/>
          <w:color w:val="auto"/>
          <w:sz w:val="32"/>
          <w:szCs w:val="32"/>
          <w:highlight w:val="none"/>
          <w:lang w:val="en-US" w:eastAsia="zh-CN"/>
        </w:rPr>
        <w:t>（五）提升基本养老服务便利化可及化水平</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val="en-US" w:eastAsia="zh-CN"/>
        </w:rPr>
        <w:t>24.支持社会力量提供基本养老服务。</w:t>
      </w:r>
      <w:r>
        <w:rPr>
          <w:rFonts w:hint="eastAsia" w:ascii="仿宋_GB2312" w:hAnsi="仿宋_GB2312" w:eastAsia="仿宋_GB2312" w:cs="仿宋_GB2312"/>
          <w:sz w:val="32"/>
          <w:szCs w:val="32"/>
          <w:lang w:val="en-US" w:eastAsia="zh-CN"/>
        </w:rPr>
        <w:t>健全完善长春市养老支持政策清单，</w:t>
      </w:r>
      <w:r>
        <w:rPr>
          <w:rFonts w:hint="eastAsia" w:ascii="仿宋_GB2312" w:hAnsi="仿宋_GB2312" w:eastAsia="仿宋_GB2312" w:cs="仿宋_GB2312"/>
          <w:color w:val="auto"/>
          <w:sz w:val="32"/>
          <w:szCs w:val="32"/>
          <w:highlight w:val="none"/>
        </w:rPr>
        <w:t>鼓励多元主体参与提供</w:t>
      </w:r>
      <w:r>
        <w:rPr>
          <w:rFonts w:hint="eastAsia" w:ascii="仿宋_GB2312" w:hAnsi="仿宋_GB2312" w:eastAsia="仿宋_GB2312" w:cs="仿宋_GB2312"/>
          <w:color w:val="auto"/>
          <w:sz w:val="32"/>
          <w:szCs w:val="32"/>
          <w:highlight w:val="none"/>
          <w:lang w:eastAsia="zh-CN"/>
        </w:rPr>
        <w:t>基本</w:t>
      </w:r>
      <w:r>
        <w:rPr>
          <w:rFonts w:hint="eastAsia" w:ascii="仿宋_GB2312" w:hAnsi="仿宋_GB2312" w:eastAsia="仿宋_GB2312" w:cs="仿宋_GB2312"/>
          <w:color w:val="auto"/>
          <w:sz w:val="32"/>
          <w:szCs w:val="32"/>
          <w:highlight w:val="none"/>
        </w:rPr>
        <w:t>养老服务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扩大供给，提高质量，提升可持续发展能力。</w:t>
      </w:r>
      <w:r>
        <w:rPr>
          <w:rFonts w:hint="eastAsia" w:ascii="仿宋_GB2312" w:hAnsi="仿宋_GB2312" w:eastAsia="仿宋_GB2312" w:cs="仿宋_GB2312"/>
          <w:color w:val="auto"/>
          <w:kern w:val="0"/>
          <w:sz w:val="32"/>
          <w:szCs w:val="32"/>
          <w:highlight w:val="none"/>
          <w:lang w:eastAsia="zh-CN"/>
        </w:rPr>
        <w:t>引导</w:t>
      </w:r>
      <w:r>
        <w:rPr>
          <w:rFonts w:hint="eastAsia" w:ascii="仿宋_GB2312" w:hAnsi="仿宋_GB2312" w:eastAsia="仿宋_GB2312" w:cs="仿宋_GB2312"/>
          <w:color w:val="auto"/>
          <w:kern w:val="0"/>
          <w:sz w:val="32"/>
          <w:szCs w:val="32"/>
          <w:highlight w:val="none"/>
        </w:rPr>
        <w:t>社会</w:t>
      </w:r>
      <w:r>
        <w:rPr>
          <w:rFonts w:hint="eastAsia" w:ascii="仿宋_GB2312" w:hAnsi="仿宋_GB2312" w:eastAsia="仿宋_GB2312" w:cs="仿宋_GB2312"/>
          <w:color w:val="auto"/>
          <w:kern w:val="0"/>
          <w:sz w:val="32"/>
          <w:szCs w:val="32"/>
          <w:highlight w:val="none"/>
          <w:lang w:eastAsia="zh-CN"/>
        </w:rPr>
        <w:t>力量开办或运营养老服务企业和社会组织，</w:t>
      </w:r>
      <w:r>
        <w:rPr>
          <w:rFonts w:hint="eastAsia" w:ascii="仿宋_GB2312" w:hAnsi="仿宋_GB2312" w:eastAsia="仿宋_GB2312" w:cs="仿宋_GB2312"/>
          <w:sz w:val="32"/>
          <w:szCs w:val="32"/>
          <w:lang w:val="en-US" w:eastAsia="zh-CN"/>
        </w:rPr>
        <w:t>为老年人提供日间照料、助餐助洁、康复护理等服</w:t>
      </w:r>
      <w:r>
        <w:rPr>
          <w:rFonts w:hint="eastAsia" w:ascii="仿宋_GB2312" w:hAnsi="仿宋_GB2312" w:eastAsia="仿宋_GB2312" w:cs="仿宋_GB2312"/>
          <w:color w:val="auto"/>
          <w:sz w:val="32"/>
          <w:szCs w:val="32"/>
          <w:highlight w:val="none"/>
          <w:lang w:val="en-US" w:eastAsia="zh-CN"/>
        </w:rPr>
        <w:t>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积极</w:t>
      </w:r>
      <w:r>
        <w:rPr>
          <w:rFonts w:hint="eastAsia" w:ascii="仿宋_GB2312" w:hAnsi="仿宋_GB2312" w:eastAsia="仿宋_GB2312" w:cs="仿宋_GB2312"/>
          <w:color w:val="auto"/>
          <w:sz w:val="32"/>
          <w:szCs w:val="32"/>
          <w:highlight w:val="none"/>
          <w:lang w:val="en" w:eastAsia="zh-CN"/>
        </w:rPr>
        <w:t>扩大医养结合服务供给，</w:t>
      </w:r>
      <w:r>
        <w:rPr>
          <w:rFonts w:hint="eastAsia" w:ascii="仿宋_GB2312" w:hAnsi="仿宋_GB2312" w:eastAsia="仿宋_GB2312" w:cs="仿宋_GB2312"/>
          <w:color w:val="auto"/>
          <w:sz w:val="32"/>
          <w:szCs w:val="32"/>
          <w:highlight w:val="none"/>
          <w:lang w:val="en-US" w:eastAsia="zh-CN"/>
        </w:rPr>
        <w:t>推动社会办医养结合机构发展。持续开展医养结合示范县（市、区）和示范机构创建活动。</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责任单位：市民政局、市卫健委</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25.有效利用社区现有养老服务资源。</w:t>
      </w:r>
      <w:r>
        <w:rPr>
          <w:rFonts w:hint="eastAsia" w:ascii="仿宋_GB2312" w:hAnsi="仿宋_GB2312" w:eastAsia="仿宋_GB2312" w:cs="仿宋_GB2312"/>
          <w:sz w:val="32"/>
          <w:szCs w:val="32"/>
        </w:rPr>
        <w:t>支持在社区综合服务设施开辟空间用于</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trike w:val="0"/>
          <w:dstrike w:val="0"/>
          <w:color w:val="auto"/>
          <w:sz w:val="32"/>
          <w:szCs w:val="32"/>
          <w:highlight w:val="none"/>
          <w:lang w:val="en-US" w:eastAsia="zh-CN"/>
        </w:rPr>
        <w:t>养老服务。支持养老机构利用配套设施提供社区养老服务。支持具备条件</w:t>
      </w:r>
      <w:r>
        <w:rPr>
          <w:rFonts w:hint="eastAsia" w:ascii="仿宋_GB2312" w:hAnsi="仿宋_GB2312" w:eastAsia="仿宋_GB2312" w:cs="仿宋_GB2312"/>
          <w:sz w:val="32"/>
          <w:szCs w:val="32"/>
          <w:lang w:val="en-US" w:eastAsia="zh-CN"/>
        </w:rPr>
        <w:t>的养老服务机构运营社区养老服务设施。支持专业照护机构为老年人提供生活照料、医疗护理、远程监护等居家照护服务。持续开展</w:t>
      </w:r>
      <w:r>
        <w:rPr>
          <w:rFonts w:hint="eastAsia" w:ascii="仿宋_GB2312" w:hAnsi="仿宋_GB2312" w:eastAsia="仿宋_GB2312" w:cs="仿宋_GB2312"/>
          <w:sz w:val="32"/>
          <w:szCs w:val="32"/>
        </w:rPr>
        <w:t>社</w:t>
      </w:r>
      <w:r>
        <w:rPr>
          <w:rFonts w:hint="eastAsia" w:ascii="仿宋_GB2312" w:hAnsi="仿宋_GB2312" w:eastAsia="仿宋_GB2312" w:cs="仿宋_GB2312"/>
          <w:sz w:val="32"/>
          <w:szCs w:val="32"/>
          <w:lang w:val="en-US" w:eastAsia="zh-CN"/>
        </w:rPr>
        <w:t>区敬老餐厅和敬老助餐点建设，推动老年助餐服务方便可及、经济实惠、安全可靠、长效发展。</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仿宋_GB2312" w:hAnsi="仿宋_GB2312" w:eastAsia="仿宋_GB2312" w:cs="仿宋_GB2312"/>
          <w:sz w:val="32"/>
          <w:szCs w:val="32"/>
        </w:rPr>
      </w:pPr>
      <w:r>
        <w:rPr>
          <w:rFonts w:hint="eastAsia" w:ascii="黑体" w:hAnsi="黑体" w:eastAsia="黑体" w:cs="黑体"/>
          <w:color w:val="auto"/>
          <w:sz w:val="32"/>
          <w:szCs w:val="32"/>
          <w:highlight w:val="none"/>
          <w:lang w:eastAsia="zh-CN"/>
        </w:rPr>
        <w:t>责任单位：市民政局</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26.建设嵌入式综合养老服务中心。</w:t>
      </w:r>
      <w:r>
        <w:rPr>
          <w:rFonts w:hint="eastAsia" w:ascii="仿宋_GB2312" w:hAnsi="仿宋_GB2312" w:eastAsia="仿宋_GB2312" w:cs="仿宋_GB2312"/>
          <w:color w:val="auto"/>
          <w:sz w:val="32"/>
          <w:szCs w:val="32"/>
          <w:highlight w:val="none"/>
          <w:lang w:eastAsia="zh-CN"/>
        </w:rPr>
        <w:t>持续实施居家和社区基本养老服务提升行动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依托和整合现有资源，按照谋划一批、储备一批、建设一批的原则，发展</w:t>
      </w:r>
      <w:r>
        <w:rPr>
          <w:rFonts w:hint="eastAsia" w:ascii="仿宋_GB2312" w:hAnsi="仿宋_GB2312" w:eastAsia="仿宋_GB2312" w:cs="仿宋_GB2312"/>
          <w:color w:val="auto"/>
          <w:sz w:val="32"/>
          <w:szCs w:val="32"/>
          <w:highlight w:val="none"/>
        </w:rPr>
        <w:t>集照护、上门服务于一体的</w:t>
      </w:r>
      <w:r>
        <w:rPr>
          <w:rFonts w:hint="eastAsia" w:ascii="仿宋_GB2312" w:hAnsi="仿宋_GB2312" w:eastAsia="仿宋_GB2312" w:cs="仿宋_GB2312"/>
          <w:sz w:val="32"/>
          <w:szCs w:val="32"/>
          <w:lang w:val="en-US" w:eastAsia="zh-CN"/>
        </w:rPr>
        <w:t>综合嵌入式社区居家养老服务中心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纵向将服务延伸至</w:t>
      </w:r>
      <w:r>
        <w:rPr>
          <w:rFonts w:hint="eastAsia" w:ascii="仿宋_GB2312" w:hAnsi="仿宋_GB2312" w:eastAsia="仿宋_GB2312" w:cs="仿宋_GB2312"/>
          <w:color w:val="auto"/>
          <w:sz w:val="32"/>
          <w:szCs w:val="32"/>
          <w:highlight w:val="none"/>
          <w:lang w:eastAsia="zh-CN"/>
        </w:rPr>
        <w:t>老年人</w:t>
      </w:r>
      <w:r>
        <w:rPr>
          <w:rFonts w:hint="eastAsia" w:ascii="仿宋_GB2312" w:hAnsi="仿宋_GB2312" w:eastAsia="仿宋_GB2312" w:cs="仿宋_GB2312"/>
          <w:color w:val="auto"/>
          <w:sz w:val="32"/>
          <w:szCs w:val="32"/>
          <w:highlight w:val="none"/>
        </w:rPr>
        <w:t>家庭，横向将</w:t>
      </w:r>
      <w:r>
        <w:rPr>
          <w:rFonts w:hint="eastAsia" w:ascii="仿宋_GB2312" w:hAnsi="仿宋_GB2312" w:eastAsia="仿宋_GB2312" w:cs="仿宋_GB2312"/>
          <w:color w:val="auto"/>
          <w:sz w:val="32"/>
          <w:szCs w:val="32"/>
          <w:highlight w:val="none"/>
          <w:lang w:eastAsia="zh-CN"/>
        </w:rPr>
        <w:t>作用</w:t>
      </w:r>
      <w:r>
        <w:rPr>
          <w:rFonts w:hint="eastAsia" w:ascii="仿宋_GB2312" w:hAnsi="仿宋_GB2312" w:eastAsia="仿宋_GB2312" w:cs="仿宋_GB2312"/>
          <w:color w:val="auto"/>
          <w:sz w:val="32"/>
          <w:szCs w:val="32"/>
          <w:highlight w:val="none"/>
        </w:rPr>
        <w:t>辐射至社区周边，推动养老服务机构标准化、品牌化、连锁化发展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trike w:val="0"/>
          <w:dstrike w:val="0"/>
          <w:color w:val="auto"/>
          <w:sz w:val="32"/>
          <w:szCs w:val="32"/>
          <w:highlight w:val="none"/>
          <w:lang w:val="en-US" w:eastAsia="zh-CN"/>
        </w:rPr>
        <w:t>进一步完善“15分钟养老服务圈”。</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color w:val="auto"/>
          <w:sz w:val="32"/>
          <w:szCs w:val="32"/>
          <w:highlight w:val="none"/>
          <w:lang w:val="en-US" w:eastAsia="zh-CN"/>
        </w:rPr>
      </w:pPr>
      <w:r>
        <w:rPr>
          <w:rFonts w:hint="eastAsia" w:ascii="黑体" w:hAnsi="黑体" w:eastAsia="黑体" w:cs="黑体"/>
          <w:color w:val="auto"/>
          <w:sz w:val="32"/>
          <w:szCs w:val="32"/>
          <w:highlight w:val="none"/>
          <w:lang w:eastAsia="zh-CN"/>
        </w:rPr>
        <w:t>责任单位：市民政局、市财政局，</w:t>
      </w:r>
      <w:r>
        <w:rPr>
          <w:rFonts w:hint="eastAsia" w:ascii="黑体" w:hAnsi="黑体" w:eastAsia="黑体" w:cs="黑体"/>
          <w:color w:val="000000"/>
          <w:sz w:val="32"/>
          <w:szCs w:val="32"/>
        </w:rPr>
        <w:t>各县（市）区人民政府</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开发区管委</w:t>
      </w:r>
      <w:r>
        <w:rPr>
          <w:rFonts w:hint="eastAsia" w:ascii="黑体" w:hAnsi="黑体" w:eastAsia="黑体" w:cs="黑体"/>
          <w:color w:val="000000"/>
          <w:sz w:val="32"/>
          <w:szCs w:val="32"/>
          <w:lang w:eastAsia="zh-CN"/>
        </w:rPr>
        <w:t>会</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val="0"/>
          <w:color w:val="auto"/>
          <w:sz w:val="32"/>
          <w:szCs w:val="32"/>
          <w:highlight w:val="none"/>
          <w:lang w:val="en-US" w:eastAsia="zh-CN"/>
        </w:rPr>
        <w:t>27.</w:t>
      </w:r>
      <w:r>
        <w:rPr>
          <w:rFonts w:hint="eastAsia" w:ascii="仿宋_GB2312" w:hAnsi="仿宋_GB2312" w:eastAsia="仿宋_GB2312" w:cs="仿宋_GB2312"/>
          <w:b/>
          <w:bCs w:val="0"/>
          <w:color w:val="auto"/>
          <w:sz w:val="32"/>
          <w:szCs w:val="32"/>
          <w:highlight w:val="none"/>
        </w:rPr>
        <w:t>加强公共环境</w:t>
      </w:r>
      <w:r>
        <w:rPr>
          <w:rFonts w:hint="eastAsia" w:ascii="仿宋_GB2312" w:hAnsi="仿宋_GB2312" w:eastAsia="仿宋_GB2312" w:cs="仿宋_GB2312"/>
          <w:b/>
          <w:bCs w:val="0"/>
          <w:color w:val="auto"/>
          <w:sz w:val="32"/>
          <w:szCs w:val="32"/>
          <w:highlight w:val="none"/>
          <w:lang w:eastAsia="zh-CN"/>
        </w:rPr>
        <w:t>适老化改造。</w:t>
      </w:r>
      <w:r>
        <w:rPr>
          <w:rFonts w:hint="eastAsia" w:ascii="仿宋_GB2312" w:hAnsi="仿宋_GB2312" w:eastAsia="仿宋_GB2312" w:cs="仿宋_GB2312"/>
          <w:bCs/>
          <w:color w:val="auto"/>
          <w:sz w:val="32"/>
          <w:szCs w:val="32"/>
          <w:highlight w:val="none"/>
          <w:lang w:eastAsia="zh-CN"/>
        </w:rPr>
        <w:t>研究制定老旧小区空间提质改造方案，做好</w:t>
      </w:r>
      <w:r>
        <w:rPr>
          <w:rFonts w:hint="eastAsia" w:ascii="仿宋_GB2312" w:hAnsi="仿宋_GB2312" w:eastAsia="仿宋_GB2312" w:cs="仿宋_GB2312"/>
          <w:sz w:val="32"/>
          <w:szCs w:val="32"/>
          <w:lang w:val="en-US" w:eastAsia="zh-CN"/>
        </w:rPr>
        <w:t>公共环境适老化设施、老旧小区加装电梯等改造要素指引，形成“基础类-完善类-提升类”三个层次的改造内容。推动</w:t>
      </w:r>
      <w:r>
        <w:rPr>
          <w:rFonts w:hint="eastAsia" w:ascii="仿宋_GB2312" w:hAnsi="仿宋_GB2312" w:eastAsia="仿宋_GB2312" w:cs="仿宋_GB2312"/>
          <w:color w:val="auto"/>
          <w:sz w:val="32"/>
          <w:szCs w:val="32"/>
          <w:highlight w:val="none"/>
        </w:rPr>
        <w:t>乡镇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、城乡社区公共服务环境适老化改造。加大</w:t>
      </w:r>
      <w:r>
        <w:rPr>
          <w:rFonts w:hint="eastAsia" w:ascii="仿宋_GB2312" w:hAnsi="仿宋_GB2312" w:eastAsia="仿宋_GB2312" w:cs="仿宋_GB2312"/>
          <w:color w:val="auto"/>
          <w:sz w:val="32"/>
          <w:szCs w:val="32"/>
          <w:highlight w:val="none"/>
          <w:lang w:eastAsia="zh-CN"/>
        </w:rPr>
        <w:t>公共</w:t>
      </w:r>
      <w:r>
        <w:rPr>
          <w:rFonts w:hint="eastAsia" w:ascii="仿宋_GB2312" w:hAnsi="仿宋_GB2312" w:eastAsia="仿宋_GB2312" w:cs="仿宋_GB2312"/>
          <w:color w:val="auto"/>
          <w:sz w:val="32"/>
          <w:szCs w:val="32"/>
          <w:highlight w:val="none"/>
        </w:rPr>
        <w:t>交通设施、公共交通工具等适老化改造力度。</w:t>
      </w:r>
      <w:r>
        <w:rPr>
          <w:rFonts w:hint="eastAsia" w:ascii="仿宋_GB2312" w:hAnsi="仿宋_GB2312" w:eastAsia="仿宋_GB2312" w:cs="仿宋_GB2312"/>
          <w:sz w:val="32"/>
          <w:szCs w:val="32"/>
        </w:rPr>
        <w:t>鼓励开展无障碍环境认证,提升无障碍环境服务水平。</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Cs/>
          <w:color w:val="auto"/>
          <w:sz w:val="32"/>
          <w:szCs w:val="32"/>
          <w:highlight w:val="none"/>
        </w:rPr>
      </w:pPr>
      <w:r>
        <w:rPr>
          <w:rFonts w:hint="eastAsia" w:ascii="黑体" w:hAnsi="黑体" w:eastAsia="黑体" w:cs="黑体"/>
          <w:color w:val="auto"/>
          <w:sz w:val="32"/>
          <w:szCs w:val="32"/>
          <w:highlight w:val="none"/>
          <w:lang w:eastAsia="zh-CN"/>
        </w:rPr>
        <w:t>责任单位：市规自局、市建委、</w:t>
      </w:r>
      <w:r>
        <w:rPr>
          <w:rFonts w:hint="eastAsia" w:ascii="黑体" w:hAnsi="黑体" w:eastAsia="黑体" w:cs="黑体"/>
          <w:bCs/>
          <w:color w:val="auto"/>
          <w:sz w:val="32"/>
          <w:szCs w:val="32"/>
          <w:highlight w:val="none"/>
          <w:lang w:eastAsia="zh-CN"/>
        </w:rPr>
        <w:t>市</w:t>
      </w:r>
      <w:r>
        <w:rPr>
          <w:rFonts w:hint="eastAsia" w:ascii="黑体" w:hAnsi="黑体" w:eastAsia="黑体" w:cs="黑体"/>
          <w:bCs/>
          <w:color w:val="auto"/>
          <w:sz w:val="32"/>
          <w:szCs w:val="32"/>
          <w:highlight w:val="none"/>
        </w:rPr>
        <w:t>交通</w:t>
      </w:r>
      <w:r>
        <w:rPr>
          <w:rFonts w:hint="eastAsia" w:ascii="黑体" w:hAnsi="黑体" w:eastAsia="黑体" w:cs="黑体"/>
          <w:bCs/>
          <w:color w:val="auto"/>
          <w:sz w:val="32"/>
          <w:szCs w:val="32"/>
          <w:highlight w:val="none"/>
          <w:lang w:eastAsia="zh-CN"/>
        </w:rPr>
        <w:t>局、市</w:t>
      </w:r>
      <w:r>
        <w:rPr>
          <w:rFonts w:hint="eastAsia" w:ascii="黑体" w:hAnsi="黑体" w:eastAsia="黑体" w:cs="黑体"/>
          <w:bCs/>
          <w:color w:val="auto"/>
          <w:sz w:val="32"/>
          <w:szCs w:val="32"/>
          <w:highlight w:val="none"/>
        </w:rPr>
        <w:t>残联</w:t>
      </w:r>
      <w:r>
        <w:rPr>
          <w:rFonts w:hint="eastAsia" w:ascii="黑体" w:hAnsi="黑体" w:eastAsia="黑体" w:cs="黑体"/>
          <w:bCs/>
          <w:color w:val="auto"/>
          <w:sz w:val="32"/>
          <w:szCs w:val="32"/>
          <w:highlight w:val="none"/>
          <w:lang w:eastAsia="zh-CN"/>
        </w:rPr>
        <w:t>，</w:t>
      </w:r>
      <w:r>
        <w:rPr>
          <w:rFonts w:hint="eastAsia" w:ascii="黑体" w:hAnsi="黑体" w:eastAsia="黑体" w:cs="黑体"/>
          <w:color w:val="000000"/>
          <w:sz w:val="32"/>
          <w:szCs w:val="32"/>
        </w:rPr>
        <w:t>各县（市）区人民政府</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开发区管委</w:t>
      </w:r>
      <w:r>
        <w:rPr>
          <w:rFonts w:hint="eastAsia" w:ascii="黑体" w:hAnsi="黑体" w:eastAsia="黑体" w:cs="黑体"/>
          <w:color w:val="000000"/>
          <w:sz w:val="32"/>
          <w:szCs w:val="32"/>
          <w:lang w:eastAsia="zh-CN"/>
        </w:rPr>
        <w:t>会</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28.推进家庭适老化改造及康复辅具应用。</w:t>
      </w:r>
      <w:r>
        <w:rPr>
          <w:rFonts w:hint="eastAsia" w:ascii="仿宋_GB2312" w:hAnsi="仿宋_GB2312" w:eastAsia="仿宋_GB2312" w:cs="仿宋_GB2312"/>
          <w:color w:val="auto"/>
          <w:sz w:val="32"/>
          <w:szCs w:val="32"/>
          <w:highlight w:val="none"/>
        </w:rPr>
        <w:t>以满足居家</w:t>
      </w:r>
      <w:r>
        <w:rPr>
          <w:rFonts w:hint="eastAsia" w:ascii="仿宋_GB2312" w:hAnsi="仿宋_GB2312" w:eastAsia="仿宋_GB2312" w:cs="仿宋_GB2312"/>
          <w:color w:val="auto"/>
          <w:sz w:val="32"/>
          <w:szCs w:val="32"/>
          <w:highlight w:val="none"/>
          <w:lang w:eastAsia="zh-CN"/>
        </w:rPr>
        <w:t>老年人</w:t>
      </w:r>
      <w:r>
        <w:rPr>
          <w:rFonts w:hint="eastAsia" w:ascii="仿宋_GB2312" w:hAnsi="仿宋_GB2312" w:eastAsia="仿宋_GB2312" w:cs="仿宋_GB2312"/>
          <w:color w:val="auto"/>
          <w:sz w:val="32"/>
          <w:szCs w:val="32"/>
          <w:highlight w:val="none"/>
        </w:rPr>
        <w:t>生活照料、起居行动、康复护理等需求为重点,</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兜底保障、适度</w:t>
      </w:r>
      <w:r>
        <w:rPr>
          <w:rFonts w:hint="eastAsia" w:ascii="仿宋_GB2312" w:hAnsi="仿宋_GB2312" w:eastAsia="仿宋_GB2312" w:cs="仿宋_GB2312"/>
          <w:sz w:val="32"/>
          <w:szCs w:val="32"/>
        </w:rPr>
        <w:t>扩面</w:t>
      </w:r>
      <w:r>
        <w:rPr>
          <w:rFonts w:hint="eastAsia" w:ascii="仿宋_GB2312" w:hAnsi="仿宋_GB2312" w:eastAsia="仿宋_GB2312" w:cs="仿宋_GB2312"/>
          <w:sz w:val="32"/>
          <w:szCs w:val="32"/>
          <w:lang w:eastAsia="zh-CN"/>
        </w:rPr>
        <w:t>、统筹城乡的原则，</w:t>
      </w:r>
      <w:r>
        <w:rPr>
          <w:rFonts w:hint="eastAsia" w:ascii="仿宋_GB2312" w:hAnsi="仿宋_GB2312" w:eastAsia="仿宋_GB2312" w:cs="仿宋_GB2312"/>
          <w:color w:val="auto"/>
          <w:sz w:val="32"/>
          <w:szCs w:val="32"/>
          <w:highlight w:val="none"/>
        </w:rPr>
        <w:t>采取政府补贴等方式,支持对</w:t>
      </w:r>
      <w:r>
        <w:rPr>
          <w:rFonts w:hint="eastAsia" w:ascii="仿宋_GB2312" w:hAnsi="仿宋_GB2312" w:eastAsia="仿宋_GB2312" w:cs="仿宋_GB2312"/>
          <w:color w:val="auto"/>
          <w:sz w:val="32"/>
          <w:szCs w:val="32"/>
          <w:highlight w:val="none"/>
          <w:lang w:eastAsia="zh-CN"/>
        </w:rPr>
        <w:t>纳入</w:t>
      </w:r>
      <w:r>
        <w:rPr>
          <w:rFonts w:hint="eastAsia" w:ascii="仿宋_GB2312" w:hAnsi="仿宋_GB2312" w:eastAsia="仿宋_GB2312" w:cs="仿宋_GB2312"/>
          <w:color w:val="auto"/>
          <w:sz w:val="32"/>
          <w:szCs w:val="32"/>
          <w:highlight w:val="none"/>
        </w:rPr>
        <w:t>分散供养</w:t>
      </w:r>
      <w:r>
        <w:rPr>
          <w:rFonts w:hint="eastAsia" w:ascii="仿宋_GB2312" w:hAnsi="仿宋_GB2312" w:eastAsia="仿宋_GB2312" w:cs="仿宋_GB2312"/>
          <w:color w:val="auto"/>
          <w:sz w:val="32"/>
          <w:szCs w:val="32"/>
          <w:highlight w:val="none"/>
          <w:lang w:eastAsia="zh-CN"/>
        </w:rPr>
        <w:t>特困人员、低保对象中</w:t>
      </w:r>
      <w:r>
        <w:rPr>
          <w:rFonts w:hint="eastAsia" w:ascii="仿宋_GB2312" w:hAnsi="仿宋_GB2312" w:eastAsia="仿宋_GB2312" w:cs="仿宋_GB2312"/>
          <w:color w:val="auto"/>
          <w:sz w:val="32"/>
          <w:szCs w:val="32"/>
          <w:highlight w:val="none"/>
        </w:rPr>
        <w:t>的失能、高龄、残疾老年人</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家庭实施居家适老化改造，</w:t>
      </w:r>
      <w:r>
        <w:rPr>
          <w:rFonts w:hint="eastAsia" w:ascii="仿宋_GB2312" w:hAnsi="仿宋_GB2312" w:eastAsia="仿宋_GB2312" w:cs="仿宋_GB2312"/>
          <w:color w:val="auto"/>
          <w:sz w:val="32"/>
          <w:szCs w:val="32"/>
          <w:highlight w:val="none"/>
          <w:lang w:eastAsia="zh-CN"/>
        </w:rPr>
        <w:t>引导社会化专业机构为其他有需求的老年人家庭提供居家适老化改造服务，到</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025年底，全市完成居家老年人家庭适老化改造不少于3000户。</w:t>
      </w:r>
      <w:r>
        <w:rPr>
          <w:rFonts w:hint="eastAsia" w:ascii="仿宋_GB2312" w:hAnsi="仿宋_GB2312" w:eastAsia="仿宋_GB2312" w:cs="仿宋_GB2312"/>
          <w:bCs/>
          <w:color w:val="auto"/>
          <w:sz w:val="32"/>
          <w:szCs w:val="32"/>
          <w:highlight w:val="none"/>
        </w:rPr>
        <w:t>发展康复辅助器具社区租赁服务,提升老年人生活自理能力和居家养老品质。积极推广老年人康复辅具、智能化家居等产品在家庭、社区的应用</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责任单位：市民政局</w:t>
      </w:r>
      <w:r>
        <w:rPr>
          <w:rFonts w:hint="eastAsia" w:ascii="黑体" w:hAnsi="黑体" w:eastAsia="黑体" w:cs="黑体"/>
          <w:bCs/>
          <w:color w:val="auto"/>
          <w:sz w:val="32"/>
          <w:szCs w:val="32"/>
          <w:highlight w:val="none"/>
          <w:lang w:eastAsia="zh-CN"/>
        </w:rPr>
        <w:t>、市</w:t>
      </w:r>
      <w:r>
        <w:rPr>
          <w:rFonts w:hint="eastAsia" w:ascii="黑体" w:hAnsi="黑体" w:eastAsia="黑体" w:cs="黑体"/>
          <w:bCs/>
          <w:color w:val="auto"/>
          <w:sz w:val="32"/>
          <w:szCs w:val="32"/>
          <w:highlight w:val="none"/>
        </w:rPr>
        <w:t>残联</w:t>
      </w:r>
    </w:p>
    <w:p>
      <w:pPr>
        <w:keepNext w:val="0"/>
        <w:keepLines w:val="0"/>
        <w:pageBreakBefore w:val="0"/>
        <w:widowControl w:val="0"/>
        <w:numPr>
          <w:ilvl w:val="-1"/>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29.</w:t>
      </w:r>
      <w:r>
        <w:rPr>
          <w:rFonts w:hint="eastAsia" w:ascii="仿宋_GB2312" w:hAnsi="仿宋_GB2312" w:eastAsia="仿宋_GB2312" w:cs="仿宋_GB2312"/>
          <w:b/>
          <w:bCs/>
          <w:sz w:val="32"/>
          <w:szCs w:val="32"/>
        </w:rPr>
        <w:t>帮助老年人家庭成员提高照护能力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将家庭照护者纳入养老护理员职业技能培训等范围，</w:t>
      </w:r>
      <w:r>
        <w:rPr>
          <w:rFonts w:hint="eastAsia" w:ascii="仿宋_GB2312" w:hAnsi="仿宋_GB2312" w:eastAsia="仿宋_GB2312" w:cs="仿宋_GB2312"/>
          <w:sz w:val="32"/>
          <w:szCs w:val="32"/>
          <w:lang w:eastAsia="zh-CN"/>
        </w:rPr>
        <w:t>依托县（市）区、乡镇（街道）、村（社区）各类养老服务机构，</w:t>
      </w:r>
      <w:r>
        <w:rPr>
          <w:rFonts w:hint="eastAsia" w:ascii="仿宋_GB2312" w:hAnsi="仿宋_GB2312" w:eastAsia="仿宋_GB2312" w:cs="仿宋_GB2312"/>
          <w:color w:val="auto"/>
          <w:sz w:val="32"/>
          <w:szCs w:val="32"/>
          <w:highlight w:val="none"/>
          <w:lang w:eastAsia="zh-CN"/>
        </w:rPr>
        <w:t>以及</w:t>
      </w:r>
      <w:r>
        <w:rPr>
          <w:rFonts w:hint="eastAsia" w:ascii="仿宋_GB2312" w:hAnsi="仿宋_GB2312" w:eastAsia="仿宋_GB2312" w:cs="仿宋_GB2312"/>
          <w:sz w:val="32"/>
          <w:szCs w:val="32"/>
        </w:rPr>
        <w:t>基层群众性自治组织等</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家庭养老指导</w:t>
      </w:r>
      <w:r>
        <w:rPr>
          <w:rFonts w:hint="eastAsia" w:ascii="仿宋_GB2312" w:hAnsi="仿宋_GB2312" w:eastAsia="仿宋_GB2312" w:cs="仿宋_GB2312"/>
          <w:sz w:val="32"/>
          <w:szCs w:val="32"/>
          <w:lang w:eastAsia="zh-CN"/>
        </w:rPr>
        <w:t>及培训</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color w:val="auto"/>
          <w:sz w:val="32"/>
          <w:szCs w:val="32"/>
          <w:highlight w:val="none"/>
        </w:rPr>
        <w:t>探索开展家庭照护者“喘息服务”。</w:t>
      </w:r>
      <w:r>
        <w:rPr>
          <w:rFonts w:hint="eastAsia" w:ascii="仿宋_GB2312" w:hAnsi="仿宋_GB2312" w:eastAsia="仿宋_GB2312" w:cs="仿宋_GB2312"/>
          <w:bCs/>
          <w:color w:val="auto"/>
          <w:sz w:val="32"/>
          <w:szCs w:val="32"/>
          <w:highlight w:val="none"/>
          <w:lang w:eastAsia="zh-CN"/>
        </w:rPr>
        <w:t>对</w:t>
      </w:r>
      <w:r>
        <w:rPr>
          <w:rFonts w:hint="eastAsia" w:ascii="仿宋_GB2312" w:hAnsi="仿宋_GB2312" w:eastAsia="仿宋_GB2312" w:cs="仿宋_GB2312"/>
          <w:sz w:val="32"/>
          <w:szCs w:val="32"/>
        </w:rPr>
        <w:t>符合条件的失能老年人家庭成员参加照护培训等相关职业技能培训的,按规定给予职业培训补贴</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责任单位：市民政局、市人社局</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30.畅通</w:t>
      </w:r>
      <w:r>
        <w:rPr>
          <w:rFonts w:hint="eastAsia" w:ascii="仿宋_GB2312" w:hAnsi="仿宋_GB2312" w:eastAsia="仿宋_GB2312" w:cs="仿宋_GB2312"/>
          <w:b/>
          <w:bCs/>
          <w:sz w:val="32"/>
          <w:szCs w:val="32"/>
        </w:rPr>
        <w:t>信息无障碍</w:t>
      </w:r>
      <w:r>
        <w:rPr>
          <w:rFonts w:hint="eastAsia" w:ascii="仿宋_GB2312" w:hAnsi="仿宋_GB2312" w:eastAsia="仿宋_GB2312" w:cs="仿宋_GB2312"/>
          <w:b/>
          <w:bCs/>
          <w:sz w:val="32"/>
          <w:szCs w:val="32"/>
          <w:lang w:eastAsia="zh-CN"/>
        </w:rPr>
        <w:t>渠道。</w:t>
      </w:r>
      <w:r>
        <w:rPr>
          <w:rFonts w:hint="eastAsia" w:ascii="仿宋_GB2312" w:hAnsi="仿宋_GB2312" w:eastAsia="仿宋_GB2312" w:cs="仿宋_GB2312"/>
          <w:sz w:val="32"/>
          <w:szCs w:val="32"/>
        </w:rPr>
        <w:t>积极推进智慧服务适老化，加强信息无障碍建设，</w:t>
      </w:r>
      <w:r>
        <w:rPr>
          <w:rFonts w:hint="eastAsia" w:ascii="仿宋_GB2312" w:hAnsi="仿宋_GB2312" w:eastAsia="仿宋_GB2312" w:cs="仿宋_GB2312"/>
          <w:sz w:val="32"/>
          <w:szCs w:val="32"/>
          <w:lang w:eastAsia="zh-CN"/>
        </w:rPr>
        <w:t>帮助老年人提升信息获取、识别和应用能力，</w:t>
      </w:r>
      <w:r>
        <w:rPr>
          <w:rFonts w:hint="eastAsia" w:ascii="仿宋_GB2312" w:hAnsi="仿宋_GB2312" w:eastAsia="仿宋_GB2312" w:cs="仿宋_GB2312"/>
          <w:sz w:val="32"/>
          <w:szCs w:val="32"/>
        </w:rPr>
        <w:t>降低</w:t>
      </w:r>
      <w:r>
        <w:rPr>
          <w:rFonts w:hint="eastAsia" w:ascii="仿宋_GB2312" w:hAnsi="仿宋_GB2312" w:eastAsia="仿宋_GB2312" w:cs="仿宋_GB2312"/>
          <w:sz w:val="32"/>
          <w:szCs w:val="32"/>
          <w:lang w:eastAsia="zh-CN"/>
        </w:rPr>
        <w:t>老年人</w:t>
      </w:r>
      <w:r>
        <w:rPr>
          <w:rFonts w:hint="eastAsia" w:ascii="仿宋_GB2312" w:hAnsi="仿宋_GB2312" w:eastAsia="仿宋_GB2312" w:cs="仿宋_GB2312"/>
          <w:sz w:val="32"/>
          <w:szCs w:val="32"/>
        </w:rPr>
        <w:t>信息消费成本，扩大产品服务供给，优化互联网、通讯服务、公共服务无障碍环境，加快信息化与无障碍建设深度融合</w:t>
      </w:r>
      <w:r>
        <w:rPr>
          <w:rFonts w:hint="eastAsia" w:ascii="仿宋_GB2312" w:hAnsi="仿宋_GB2312" w:eastAsia="仿宋_GB2312" w:cs="仿宋_GB2312"/>
          <w:sz w:val="32"/>
          <w:szCs w:val="32"/>
          <w:lang w:eastAsia="zh-CN"/>
        </w:rPr>
        <w:t>，逐步</w:t>
      </w:r>
      <w:r>
        <w:rPr>
          <w:rFonts w:hint="eastAsia" w:ascii="仿宋_GB2312" w:hAnsi="仿宋_GB2312" w:eastAsia="仿宋_GB2312" w:cs="仿宋_GB2312"/>
          <w:sz w:val="32"/>
          <w:szCs w:val="32"/>
        </w:rPr>
        <w:t>降低老年人应用数字技术的难度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为老年人获取基本养老服务提供便利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保留传统线下服务渠道，设置引导台，安排流动人员引导老年人到绿色通道窗口，为老年人群体提供帮办代办服务。针对老年人群体特点，提供更加贴心暖心的社保服务。</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责任单位：市政数局、市社保局、</w:t>
      </w:r>
      <w:r>
        <w:rPr>
          <w:rFonts w:hint="eastAsia" w:ascii="黑体" w:hAnsi="黑体" w:eastAsia="黑体" w:cs="黑体"/>
          <w:bCs/>
          <w:color w:val="auto"/>
          <w:sz w:val="32"/>
          <w:szCs w:val="32"/>
          <w:highlight w:val="none"/>
          <w:lang w:eastAsia="zh-CN"/>
        </w:rPr>
        <w:t>市</w:t>
      </w:r>
      <w:r>
        <w:rPr>
          <w:rFonts w:hint="eastAsia" w:ascii="黑体" w:hAnsi="黑体" w:eastAsia="黑体" w:cs="黑体"/>
          <w:bCs/>
          <w:color w:val="auto"/>
          <w:sz w:val="32"/>
          <w:szCs w:val="32"/>
          <w:highlight w:val="none"/>
        </w:rPr>
        <w:t>残联</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31.积极探索开展养老服务质量第三方认证工作。</w:t>
      </w:r>
      <w:r>
        <w:rPr>
          <w:rFonts w:hint="eastAsia" w:ascii="仿宋_GB2312" w:hAnsi="仿宋_GB2312" w:eastAsia="仿宋_GB2312" w:cs="仿宋_GB2312"/>
          <w:sz w:val="32"/>
          <w:szCs w:val="32"/>
          <w:lang w:val="en-US" w:eastAsia="zh-CN"/>
        </w:rPr>
        <w:t>强化养老服务标准化建设，</w:t>
      </w:r>
      <w:r>
        <w:rPr>
          <w:rFonts w:hint="eastAsia" w:ascii="仿宋_GB2312" w:hAnsi="仿宋_GB2312" w:eastAsia="仿宋_GB2312" w:cs="仿宋_GB2312"/>
          <w:sz w:val="32"/>
          <w:szCs w:val="32"/>
        </w:rPr>
        <w:t>研究制定与</w:t>
      </w:r>
      <w:r>
        <w:rPr>
          <w:rFonts w:hint="eastAsia" w:ascii="仿宋_GB2312" w:hAnsi="仿宋_GB2312" w:eastAsia="仿宋_GB2312" w:cs="仿宋_GB2312"/>
          <w:sz w:val="32"/>
          <w:szCs w:val="32"/>
          <w:lang w:eastAsia="zh-CN"/>
        </w:rPr>
        <w:t>国家标准</w:t>
      </w:r>
      <w:r>
        <w:rPr>
          <w:rFonts w:hint="eastAsia" w:ascii="仿宋_GB2312" w:hAnsi="仿宋_GB2312" w:eastAsia="仿宋_GB2312" w:cs="仿宋_GB2312"/>
          <w:sz w:val="32"/>
          <w:szCs w:val="32"/>
        </w:rPr>
        <w:t>接轨、体现</w:t>
      </w:r>
      <w:r>
        <w:rPr>
          <w:rFonts w:hint="eastAsia" w:ascii="仿宋_GB2312" w:hAnsi="仿宋_GB2312" w:eastAsia="仿宋_GB2312" w:cs="仿宋_GB2312"/>
          <w:sz w:val="32"/>
          <w:szCs w:val="32"/>
          <w:lang w:eastAsia="zh-CN"/>
        </w:rPr>
        <w:t>长春</w:t>
      </w:r>
      <w:r>
        <w:rPr>
          <w:rFonts w:hint="eastAsia" w:ascii="仿宋_GB2312" w:hAnsi="仿宋_GB2312" w:eastAsia="仿宋_GB2312" w:cs="仿宋_GB2312"/>
          <w:sz w:val="32"/>
          <w:szCs w:val="32"/>
        </w:rPr>
        <w:t>特色、适应服务管理需要的</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养老服务标准。</w:t>
      </w:r>
      <w:r>
        <w:rPr>
          <w:rFonts w:hint="eastAsia" w:ascii="仿宋_GB2312" w:hAnsi="仿宋_GB2312" w:eastAsia="仿宋_GB2312" w:cs="仿宋_GB2312"/>
          <w:sz w:val="32"/>
          <w:szCs w:val="32"/>
          <w:lang w:eastAsia="zh-CN"/>
        </w:rPr>
        <w:t>持续推进</w:t>
      </w:r>
      <w:r>
        <w:rPr>
          <w:rFonts w:hint="eastAsia" w:ascii="仿宋_GB2312" w:hAnsi="仿宋_GB2312" w:eastAsia="仿宋_GB2312" w:cs="仿宋_GB2312"/>
          <w:sz w:val="32"/>
          <w:szCs w:val="32"/>
        </w:rPr>
        <w:t>养老机构等级划分与评定</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，引导养老机构通</w:t>
      </w:r>
      <w:r>
        <w:rPr>
          <w:rFonts w:hint="eastAsia" w:ascii="仿宋_GB2312" w:hAnsi="仿宋_GB2312" w:eastAsia="仿宋_GB2312" w:cs="仿宋_GB2312"/>
          <w:sz w:val="32"/>
          <w:szCs w:val="32"/>
          <w:lang w:val="en-US" w:eastAsia="zh-CN"/>
        </w:rPr>
        <w:t>过养老服务质量认证。推荐符合条件的养老服务企业申报“吉致吉品”区域品牌，推动养老服务行业规范化、专业化发展。</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lang w:val="en-US" w:eastAsia="zh-CN"/>
        </w:rPr>
      </w:pPr>
      <w:r>
        <w:rPr>
          <w:rFonts w:hint="eastAsia" w:ascii="黑体" w:hAnsi="黑体" w:eastAsia="黑体" w:cs="黑体"/>
          <w:color w:val="auto"/>
          <w:sz w:val="32"/>
          <w:szCs w:val="32"/>
          <w:highlight w:val="none"/>
          <w:lang w:eastAsia="zh-CN"/>
        </w:rPr>
        <w:t>责任单位：市民政局、市市场监管局</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32.</w:t>
      </w:r>
      <w:r>
        <w:rPr>
          <w:rFonts w:hint="eastAsia" w:ascii="仿宋_GB2312" w:hAnsi="仿宋_GB2312" w:eastAsia="仿宋_GB2312" w:cs="仿宋_GB2312"/>
          <w:b/>
          <w:bCs/>
          <w:sz w:val="32"/>
          <w:szCs w:val="32"/>
        </w:rPr>
        <w:t>推进数据统一和开放共享</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深化</w:t>
      </w:r>
      <w:r>
        <w:rPr>
          <w:rFonts w:hint="eastAsia" w:ascii="仿宋_GB2312" w:hAnsi="仿宋_GB2312" w:eastAsia="仿宋_GB2312" w:cs="仿宋_GB2312"/>
          <w:sz w:val="32"/>
          <w:szCs w:val="32"/>
          <w:lang w:eastAsia="zh-CN"/>
        </w:rPr>
        <w:t>养老服务</w:t>
      </w:r>
      <w:r>
        <w:rPr>
          <w:rFonts w:hint="eastAsia" w:ascii="仿宋_GB2312" w:hAnsi="仿宋_GB2312" w:eastAsia="仿宋_GB2312" w:cs="仿宋_GB2312"/>
          <w:sz w:val="32"/>
          <w:szCs w:val="32"/>
        </w:rPr>
        <w:t>数字赋能</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智</w:t>
      </w:r>
      <w:r>
        <w:rPr>
          <w:rFonts w:hint="eastAsia" w:ascii="仿宋_GB2312" w:hAnsi="仿宋_GB2312" w:eastAsia="仿宋_GB2312" w:cs="仿宋_GB2312"/>
          <w:sz w:val="32"/>
          <w:szCs w:val="32"/>
          <w:lang w:val="en-US" w:eastAsia="zh-CN"/>
        </w:rPr>
        <w:t>慧养老服务平台迭代升级，依托全省统建架构，部署建设市、县、乡（街道）、村（社区）四级联动的数据共享交换平台，接入市本级和县（市）区、开发区各部门，为养老服务、政策直达、信用体系等业务场景应用提供支撑。依</w:t>
      </w:r>
      <w:r>
        <w:rPr>
          <w:rFonts w:hint="eastAsia" w:ascii="仿宋_GB2312" w:hAnsi="仿宋_GB2312" w:eastAsia="仿宋_GB2312" w:cs="仿宋_GB2312"/>
          <w:sz w:val="32"/>
          <w:szCs w:val="32"/>
        </w:rPr>
        <w:t>托“金民工程”</w:t>
      </w:r>
      <w:r>
        <w:rPr>
          <w:rFonts w:hint="eastAsia" w:ascii="仿宋_GB2312" w:hAnsi="仿宋_GB2312" w:eastAsia="仿宋_GB2312" w:cs="仿宋_GB2312"/>
          <w:sz w:val="32"/>
          <w:szCs w:val="32"/>
          <w:lang w:eastAsia="zh-CN"/>
        </w:rPr>
        <w:t>系统和长春市养老管理服务平台，</w:t>
      </w:r>
      <w:r>
        <w:rPr>
          <w:rFonts w:hint="eastAsia" w:ascii="仿宋_GB2312" w:hAnsi="仿宋_GB2312" w:eastAsia="仿宋_GB2312" w:cs="仿宋_GB2312"/>
          <w:sz w:val="32"/>
          <w:szCs w:val="32"/>
        </w:rPr>
        <w:t>形成养老服务机构组织信息基本数据集和养老从业人员基本数据集。</w:t>
      </w:r>
      <w:r>
        <w:rPr>
          <w:rFonts w:hint="eastAsia" w:ascii="仿宋_GB2312" w:hAnsi="仿宋_GB2312" w:eastAsia="仿宋_GB2312" w:cs="仿宋_GB2312"/>
          <w:sz w:val="32"/>
          <w:szCs w:val="32"/>
          <w:lang w:val="en-US" w:eastAsia="zh-CN"/>
        </w:rPr>
        <w:t>依托基本公共卫生服务老年人健康管理项目，依法及时采集65岁及以上老年人健康管理信息，录入《吉林省基本公共卫生服务系统》，形成健康档案基本数据集。通过数据共享平台实现退休人员享待信息共享。</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责任单位：市民政局、市卫健委、市政数局、市社保局</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0" w:firstLineChars="200"/>
        <w:jc w:val="both"/>
        <w:textAlignment w:val="baseline"/>
        <w:outlineLvl w:val="9"/>
        <w:rPr>
          <w:rFonts w:hint="eastAsia" w:ascii="黑体" w:hAnsi="黑体" w:eastAsia="黑体" w:cs="黑体"/>
          <w:b w:val="0"/>
          <w:bCs w:val="0"/>
          <w:color w:val="000000"/>
          <w:sz w:val="32"/>
          <w:szCs w:val="32"/>
          <w:lang w:eastAsia="zh-CN" w:bidi="ar-SA"/>
        </w:rPr>
      </w:pPr>
      <w:r>
        <w:rPr>
          <w:rFonts w:hint="eastAsia" w:ascii="黑体" w:hAnsi="黑体" w:eastAsia="黑体" w:cs="黑体"/>
          <w:b w:val="0"/>
          <w:bCs w:val="0"/>
          <w:color w:val="000000"/>
          <w:sz w:val="32"/>
          <w:szCs w:val="32"/>
          <w:lang w:eastAsia="zh-CN" w:bidi="ar-SA"/>
        </w:rPr>
        <w:t>三、保障措施</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napToGrid w:val="0"/>
          <w:color w:val="000000"/>
          <w:kern w:val="0"/>
          <w:sz w:val="32"/>
          <w:szCs w:val="32"/>
          <w:lang w:eastAsia="zh-CN"/>
        </w:rPr>
      </w:pPr>
      <w:r>
        <w:rPr>
          <w:rFonts w:hint="eastAsia" w:ascii="楷体_GB2312" w:eastAsia="楷体_GB2312" w:cs="楷体"/>
          <w:b/>
          <w:bCs/>
          <w:color w:val="000000"/>
          <w:sz w:val="32"/>
          <w:szCs w:val="32"/>
          <w:lang w:bidi="ar-SA"/>
        </w:rPr>
        <w:t>（一）</w:t>
      </w:r>
      <w:r>
        <w:rPr>
          <w:rFonts w:hint="eastAsia" w:ascii="楷体_GB2312" w:eastAsia="楷体_GB2312" w:cs="楷体"/>
          <w:b/>
          <w:bCs/>
          <w:color w:val="000000"/>
          <w:sz w:val="32"/>
          <w:szCs w:val="32"/>
          <w:lang w:eastAsia="zh-CN" w:bidi="ar-SA"/>
        </w:rPr>
        <w:t>加强组织领导</w:t>
      </w:r>
      <w:r>
        <w:rPr>
          <w:rFonts w:hint="eastAsia" w:ascii="楷体_GB2312" w:eastAsia="楷体_GB2312" w:cs="楷体"/>
          <w:b/>
          <w:bCs/>
          <w:color w:val="000000"/>
          <w:sz w:val="32"/>
          <w:szCs w:val="32"/>
          <w:lang w:bidi="ar-SA"/>
        </w:rPr>
        <w:t>。</w:t>
      </w:r>
      <w:r>
        <w:rPr>
          <w:rFonts w:hint="eastAsia" w:ascii="仿宋_GB2312" w:hAnsi="仿宋_GB2312" w:eastAsia="仿宋_GB2312" w:cs="仿宋_GB2312"/>
          <w:snapToGrid w:val="0"/>
          <w:color w:val="000000"/>
          <w:kern w:val="0"/>
          <w:sz w:val="32"/>
          <w:szCs w:val="32"/>
          <w:lang w:eastAsia="zh-CN"/>
        </w:rPr>
        <w:t>各级党委（党组）要提高政治站位，切实加强党对基本养老服务机制建设的全面领导。各级党委和政府要坚持党政主要负责人负总责，将基本养老服务机制建设纳入本地经济社会发展规划和重要议事日程，研究制定工作方案，压紧压实责任。</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napToGrid w:val="0"/>
          <w:color w:val="000000"/>
          <w:kern w:val="0"/>
          <w:sz w:val="32"/>
          <w:szCs w:val="32"/>
          <w:lang w:eastAsia="zh-CN"/>
        </w:rPr>
      </w:pPr>
      <w:r>
        <w:rPr>
          <w:rFonts w:hint="eastAsia" w:ascii="楷体_GB2312" w:eastAsia="楷体_GB2312" w:cs="楷体_GB2312"/>
          <w:b/>
          <w:bCs/>
          <w:color w:val="000000"/>
          <w:sz w:val="32"/>
          <w:szCs w:val="32"/>
          <w:lang w:bidi="ar-SA"/>
        </w:rPr>
        <w:t>（二）</w:t>
      </w:r>
      <w:r>
        <w:rPr>
          <w:rFonts w:hint="eastAsia" w:ascii="楷体_GB2312" w:eastAsia="楷体_GB2312" w:cs="楷体_GB2312"/>
          <w:b/>
          <w:bCs/>
          <w:color w:val="000000"/>
          <w:sz w:val="32"/>
          <w:szCs w:val="32"/>
          <w:lang w:eastAsia="zh-CN" w:bidi="ar-SA"/>
        </w:rPr>
        <w:t>落实检查督导</w:t>
      </w:r>
      <w:r>
        <w:rPr>
          <w:rFonts w:hint="eastAsia" w:ascii="楷体_GB2312" w:eastAsia="楷体_GB2312" w:cs="楷体_GB2312"/>
          <w:b/>
          <w:bCs/>
          <w:color w:val="000000"/>
          <w:sz w:val="32"/>
          <w:szCs w:val="32"/>
          <w:lang w:bidi="ar-SA"/>
        </w:rPr>
        <w:t>。</w:t>
      </w:r>
      <w:r>
        <w:rPr>
          <w:rFonts w:hint="eastAsia" w:ascii="仿宋_GB2312" w:hAnsi="仿宋_GB2312" w:eastAsia="仿宋_GB2312" w:cs="仿宋_GB2312"/>
          <w:snapToGrid w:val="0"/>
          <w:color w:val="000000"/>
          <w:kern w:val="0"/>
          <w:sz w:val="32"/>
          <w:szCs w:val="32"/>
          <w:lang w:eastAsia="zh-CN"/>
        </w:rPr>
        <w:t>各级政府要切实履行责任，严格落实支持政策，加强绩效评估和监督检查。市直各有关部门和单位要按照职责分工，明确落实措施和进度安排，建立健全评价机制。各地要强化基本养老服务综合监管，确保服务质量和安全，对违法违规行为严肃追究责任。</w:t>
      </w:r>
    </w:p>
    <w:p>
      <w:pPr>
        <w:keepNext w:val="0"/>
        <w:keepLines w:val="0"/>
        <w:pageBreakBefore w:val="0"/>
        <w:widowControl w:val="0"/>
        <w:numPr>
          <w:ilvl w:val="0"/>
          <w:numId w:val="0"/>
        </w:numPr>
        <w:pBdr>
          <w:bottom w:val="single" w:color="FFFFFF" w:sz="4" w:space="31"/>
        </w:pBdr>
        <w:tabs>
          <w:tab w:val="left" w:pos="1440"/>
        </w:tabs>
        <w:kinsoku w:val="0"/>
        <w:wordWrap/>
        <w:overflowPunct w:val="0"/>
        <w:topLinePunct w:val="0"/>
        <w:autoSpaceDE w:val="0"/>
        <w:autoSpaceDN w:val="0"/>
        <w:bidi w:val="0"/>
        <w:adjustRightInd w:val="0"/>
        <w:snapToGrid/>
        <w:spacing w:line="240" w:lineRule="auto"/>
        <w:ind w:firstLine="642"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楷体_GB2312" w:eastAsia="楷体_GB2312" w:cs="楷体"/>
          <w:b/>
          <w:bCs/>
          <w:color w:val="000000"/>
          <w:sz w:val="32"/>
          <w:szCs w:val="32"/>
          <w:lang w:bidi="ar-SA"/>
        </w:rPr>
        <w:t>（三）</w:t>
      </w:r>
      <w:r>
        <w:rPr>
          <w:rFonts w:hint="eastAsia" w:ascii="楷体_GB2312" w:eastAsia="楷体_GB2312" w:cs="楷体"/>
          <w:b/>
          <w:bCs/>
          <w:color w:val="000000"/>
          <w:sz w:val="32"/>
          <w:szCs w:val="32"/>
          <w:lang w:eastAsia="zh-CN" w:bidi="ar-SA"/>
        </w:rPr>
        <w:t>广泛宣传引导</w:t>
      </w:r>
      <w:r>
        <w:rPr>
          <w:rFonts w:hint="eastAsia" w:ascii="楷体_GB2312" w:eastAsia="楷体_GB2312" w:cs="楷体"/>
          <w:b/>
          <w:bCs/>
          <w:color w:val="000000"/>
          <w:sz w:val="32"/>
          <w:szCs w:val="32"/>
          <w:lang w:bidi="ar-SA"/>
        </w:rPr>
        <w:t>。</w:t>
      </w:r>
      <w:r>
        <w:rPr>
          <w:rFonts w:hint="eastAsia" w:ascii="仿宋_GB2312" w:hAnsi="仿宋_GB2312" w:eastAsia="仿宋_GB2312" w:cs="仿宋_GB2312"/>
          <w:snapToGrid w:val="0"/>
          <w:color w:val="000000"/>
          <w:kern w:val="0"/>
          <w:sz w:val="32"/>
          <w:szCs w:val="32"/>
          <w:lang w:eastAsia="zh-CN"/>
        </w:rPr>
        <w:t>各地区各有关部门要主动做好养老服务政策宣传解读，及时公开基本养老服务信息，畅通意见建议反馈渠道。要凝聚社会共识，充分调动各方支持配合基本养老服务机制建设的积极性和主动性，</w:t>
      </w:r>
      <w:r>
        <w:rPr>
          <w:rFonts w:hint="eastAsia" w:ascii="仿宋_GB2312" w:hAnsi="仿宋_GB2312" w:eastAsia="仿宋_GB2312" w:cs="仿宋_GB2312"/>
          <w:sz w:val="32"/>
          <w:szCs w:val="32"/>
        </w:rPr>
        <w:t>宣传推广先进做法，选树先进典型，营造尊老、爱老、助老的良好社会氛围。</w:t>
      </w:r>
      <w:bookmarkStart w:id="0" w:name="_GoBack"/>
      <w:bookmarkEnd w:id="0"/>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仿宋简体">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2569845</wp:posOffset>
              </wp:positionH>
              <wp:positionV relativeFrom="paragraph">
                <wp:posOffset>-238125</wp:posOffset>
              </wp:positionV>
              <wp:extent cx="751840" cy="3924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51840" cy="392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02.35pt;margin-top:-18.75pt;height:30.9pt;width:59.2pt;mso-position-horizontal-relative:margin;z-index:251659264;mso-width-relative:page;mso-height-relative:page;" filled="f" stroked="f" coordsize="21600,21600" o:gfxdata="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FISZzXaAAAACgEAAA8AAAAAAAAAAQAgAAAAOAAAAGRycy9kb3du&#10;cmV2LnhtbFBLAQIUABQAAAAIAIdO4kC1FMbsIAIAACkEAAAOAAAAAAAAAAEAIAAAAD8BAABkcnMv&#10;ZTJvRG9jLnhtbFBLBQYAAAAABgAGAFkBAADRBQ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B4062"/>
    <w:rsid w:val="01E347F9"/>
    <w:rsid w:val="0242365E"/>
    <w:rsid w:val="02580CE5"/>
    <w:rsid w:val="0377145E"/>
    <w:rsid w:val="03771805"/>
    <w:rsid w:val="03B91B2D"/>
    <w:rsid w:val="050104E0"/>
    <w:rsid w:val="05EF82CD"/>
    <w:rsid w:val="06631397"/>
    <w:rsid w:val="06E11998"/>
    <w:rsid w:val="07EF017A"/>
    <w:rsid w:val="089D4B95"/>
    <w:rsid w:val="09F27488"/>
    <w:rsid w:val="09FB24EE"/>
    <w:rsid w:val="0ABFC479"/>
    <w:rsid w:val="0B3F0257"/>
    <w:rsid w:val="0B6F4029"/>
    <w:rsid w:val="0BFFD42E"/>
    <w:rsid w:val="0CF5C7D7"/>
    <w:rsid w:val="0D3E270E"/>
    <w:rsid w:val="0D5BBD7F"/>
    <w:rsid w:val="0D73436D"/>
    <w:rsid w:val="0E7FF931"/>
    <w:rsid w:val="0F2B7B08"/>
    <w:rsid w:val="0F721576"/>
    <w:rsid w:val="1057851B"/>
    <w:rsid w:val="113C4433"/>
    <w:rsid w:val="11C5307A"/>
    <w:rsid w:val="122A4DE0"/>
    <w:rsid w:val="126C5A01"/>
    <w:rsid w:val="1371F261"/>
    <w:rsid w:val="13804698"/>
    <w:rsid w:val="13DD4DCA"/>
    <w:rsid w:val="13ED92C3"/>
    <w:rsid w:val="14094DD3"/>
    <w:rsid w:val="14922109"/>
    <w:rsid w:val="155B6CF4"/>
    <w:rsid w:val="15D10D7E"/>
    <w:rsid w:val="16190463"/>
    <w:rsid w:val="163CA519"/>
    <w:rsid w:val="16EA0193"/>
    <w:rsid w:val="16FE47AD"/>
    <w:rsid w:val="17B16F73"/>
    <w:rsid w:val="18B8E5FA"/>
    <w:rsid w:val="18CF0024"/>
    <w:rsid w:val="19B30DB7"/>
    <w:rsid w:val="19B94309"/>
    <w:rsid w:val="1A6B2323"/>
    <w:rsid w:val="1A6B4D40"/>
    <w:rsid w:val="1AFD6C04"/>
    <w:rsid w:val="1B479800"/>
    <w:rsid w:val="1BADEF31"/>
    <w:rsid w:val="1BF35286"/>
    <w:rsid w:val="1BFD6D51"/>
    <w:rsid w:val="1BFFBFA3"/>
    <w:rsid w:val="1C8D7EE3"/>
    <w:rsid w:val="1C9FD73C"/>
    <w:rsid w:val="1DCA3281"/>
    <w:rsid w:val="1DEF89D1"/>
    <w:rsid w:val="1DF46664"/>
    <w:rsid w:val="1EA15059"/>
    <w:rsid w:val="1EBAF1FE"/>
    <w:rsid w:val="1EED9703"/>
    <w:rsid w:val="1EFBD3BD"/>
    <w:rsid w:val="1EFFC1A3"/>
    <w:rsid w:val="1F453A44"/>
    <w:rsid w:val="1F6E721A"/>
    <w:rsid w:val="1FAB562F"/>
    <w:rsid w:val="1FBFCD25"/>
    <w:rsid w:val="1FD725DD"/>
    <w:rsid w:val="1FFFDEB2"/>
    <w:rsid w:val="21803980"/>
    <w:rsid w:val="21F832C9"/>
    <w:rsid w:val="222B57C8"/>
    <w:rsid w:val="22642005"/>
    <w:rsid w:val="23CFAD64"/>
    <w:rsid w:val="23D7C211"/>
    <w:rsid w:val="23DE2674"/>
    <w:rsid w:val="23FD0EA3"/>
    <w:rsid w:val="25CE0223"/>
    <w:rsid w:val="25FF217D"/>
    <w:rsid w:val="25FF8836"/>
    <w:rsid w:val="26714267"/>
    <w:rsid w:val="26A57358"/>
    <w:rsid w:val="26D91F90"/>
    <w:rsid w:val="26EF2534"/>
    <w:rsid w:val="26FE36F3"/>
    <w:rsid w:val="272FA545"/>
    <w:rsid w:val="276BA51C"/>
    <w:rsid w:val="279F2485"/>
    <w:rsid w:val="27EED6E8"/>
    <w:rsid w:val="27F0BD39"/>
    <w:rsid w:val="284F232E"/>
    <w:rsid w:val="287D390A"/>
    <w:rsid w:val="28F72FFD"/>
    <w:rsid w:val="29D306AC"/>
    <w:rsid w:val="2A261EAA"/>
    <w:rsid w:val="2A852193"/>
    <w:rsid w:val="2B3B001A"/>
    <w:rsid w:val="2B3F06F4"/>
    <w:rsid w:val="2B4B8798"/>
    <w:rsid w:val="2BD99BF7"/>
    <w:rsid w:val="2BDFBCB2"/>
    <w:rsid w:val="2BEDE93D"/>
    <w:rsid w:val="2BFF9B45"/>
    <w:rsid w:val="2C4D83EC"/>
    <w:rsid w:val="2C6DC4E2"/>
    <w:rsid w:val="2CDF6933"/>
    <w:rsid w:val="2CDFD542"/>
    <w:rsid w:val="2CF7582C"/>
    <w:rsid w:val="2D67E54C"/>
    <w:rsid w:val="2D7738BE"/>
    <w:rsid w:val="2D7FBDC9"/>
    <w:rsid w:val="2DD6D9DE"/>
    <w:rsid w:val="2DED3C61"/>
    <w:rsid w:val="2DFD2359"/>
    <w:rsid w:val="2E7A1D5A"/>
    <w:rsid w:val="2EDF9FFD"/>
    <w:rsid w:val="2EF9CA19"/>
    <w:rsid w:val="2F1EBD37"/>
    <w:rsid w:val="2F736992"/>
    <w:rsid w:val="2F7D3209"/>
    <w:rsid w:val="2F874248"/>
    <w:rsid w:val="2FBF5C9F"/>
    <w:rsid w:val="2FD231A0"/>
    <w:rsid w:val="2FDF71F2"/>
    <w:rsid w:val="2FF35EDD"/>
    <w:rsid w:val="2FF6C795"/>
    <w:rsid w:val="2FFEC2B7"/>
    <w:rsid w:val="2FFFFD27"/>
    <w:rsid w:val="30DD4F4D"/>
    <w:rsid w:val="30FD332E"/>
    <w:rsid w:val="310810EB"/>
    <w:rsid w:val="312C2838"/>
    <w:rsid w:val="31DA3112"/>
    <w:rsid w:val="31F7AE92"/>
    <w:rsid w:val="336BD44D"/>
    <w:rsid w:val="33877B51"/>
    <w:rsid w:val="3433218C"/>
    <w:rsid w:val="34560996"/>
    <w:rsid w:val="34BFAAF0"/>
    <w:rsid w:val="35EFD07D"/>
    <w:rsid w:val="35EFD792"/>
    <w:rsid w:val="367FEB46"/>
    <w:rsid w:val="36D02ACE"/>
    <w:rsid w:val="36F76151"/>
    <w:rsid w:val="36FA234A"/>
    <w:rsid w:val="36FB5BAA"/>
    <w:rsid w:val="36FF3FE3"/>
    <w:rsid w:val="3736933B"/>
    <w:rsid w:val="376CAB2E"/>
    <w:rsid w:val="377563F6"/>
    <w:rsid w:val="377D088A"/>
    <w:rsid w:val="37B59CF7"/>
    <w:rsid w:val="37BDD5B1"/>
    <w:rsid w:val="37D47123"/>
    <w:rsid w:val="37DCE200"/>
    <w:rsid w:val="37EF20D5"/>
    <w:rsid w:val="37F78BC1"/>
    <w:rsid w:val="37FDD676"/>
    <w:rsid w:val="37FE6ECD"/>
    <w:rsid w:val="39540422"/>
    <w:rsid w:val="39CD1DA8"/>
    <w:rsid w:val="39D6DBBA"/>
    <w:rsid w:val="3AF3B846"/>
    <w:rsid w:val="3AFD8E2E"/>
    <w:rsid w:val="3B5CF60B"/>
    <w:rsid w:val="3B5ED46D"/>
    <w:rsid w:val="3B7F101E"/>
    <w:rsid w:val="3BDD9713"/>
    <w:rsid w:val="3BEE85EE"/>
    <w:rsid w:val="3BF11918"/>
    <w:rsid w:val="3BF921D1"/>
    <w:rsid w:val="3CBF2E52"/>
    <w:rsid w:val="3CFDA7F1"/>
    <w:rsid w:val="3D2DE28F"/>
    <w:rsid w:val="3D3FE02C"/>
    <w:rsid w:val="3D6B80FE"/>
    <w:rsid w:val="3D74B216"/>
    <w:rsid w:val="3D76DDD9"/>
    <w:rsid w:val="3D77B202"/>
    <w:rsid w:val="3DAFE508"/>
    <w:rsid w:val="3DCFBF4C"/>
    <w:rsid w:val="3DDB23B7"/>
    <w:rsid w:val="3DEF2BFF"/>
    <w:rsid w:val="3DF7ED5B"/>
    <w:rsid w:val="3DFB37D6"/>
    <w:rsid w:val="3DFD4C72"/>
    <w:rsid w:val="3DFD68F7"/>
    <w:rsid w:val="3DFF371A"/>
    <w:rsid w:val="3DFF524B"/>
    <w:rsid w:val="3E2AF7CE"/>
    <w:rsid w:val="3E7F3EEF"/>
    <w:rsid w:val="3EBB6B8F"/>
    <w:rsid w:val="3ED7D903"/>
    <w:rsid w:val="3EFB9F02"/>
    <w:rsid w:val="3EFFDD3D"/>
    <w:rsid w:val="3EFFE4EA"/>
    <w:rsid w:val="3F227B24"/>
    <w:rsid w:val="3F3F99F4"/>
    <w:rsid w:val="3F4FBF60"/>
    <w:rsid w:val="3F5F58E5"/>
    <w:rsid w:val="3F6FACAD"/>
    <w:rsid w:val="3F7ED80B"/>
    <w:rsid w:val="3F7FF779"/>
    <w:rsid w:val="3F9678B7"/>
    <w:rsid w:val="3FB27780"/>
    <w:rsid w:val="3FBC05F0"/>
    <w:rsid w:val="3FBFED72"/>
    <w:rsid w:val="3FD65E17"/>
    <w:rsid w:val="3FD772CD"/>
    <w:rsid w:val="3FDE1BF1"/>
    <w:rsid w:val="3FF3568F"/>
    <w:rsid w:val="3FF361D7"/>
    <w:rsid w:val="3FF48ECF"/>
    <w:rsid w:val="3FF6245C"/>
    <w:rsid w:val="3FF65008"/>
    <w:rsid w:val="3FF728D2"/>
    <w:rsid w:val="3FF76DB0"/>
    <w:rsid w:val="3FFB1C62"/>
    <w:rsid w:val="3FFBC655"/>
    <w:rsid w:val="3FFD74A2"/>
    <w:rsid w:val="3FFE0303"/>
    <w:rsid w:val="3FFE402D"/>
    <w:rsid w:val="3FFE4A06"/>
    <w:rsid w:val="3FFF5446"/>
    <w:rsid w:val="3FFF7EA6"/>
    <w:rsid w:val="4112285C"/>
    <w:rsid w:val="41486478"/>
    <w:rsid w:val="41EBF864"/>
    <w:rsid w:val="41F7720F"/>
    <w:rsid w:val="42693074"/>
    <w:rsid w:val="43D97119"/>
    <w:rsid w:val="43EBC996"/>
    <w:rsid w:val="445B4E51"/>
    <w:rsid w:val="44ED7A88"/>
    <w:rsid w:val="466A63D0"/>
    <w:rsid w:val="46FB5AE3"/>
    <w:rsid w:val="47FF9A71"/>
    <w:rsid w:val="4A17263E"/>
    <w:rsid w:val="4A444C37"/>
    <w:rsid w:val="4AA7B0D6"/>
    <w:rsid w:val="4AAD3B71"/>
    <w:rsid w:val="4B223D14"/>
    <w:rsid w:val="4BEF0EDD"/>
    <w:rsid w:val="4BEF8B2D"/>
    <w:rsid w:val="4C4C6108"/>
    <w:rsid w:val="4CFEEFEF"/>
    <w:rsid w:val="4D3FF7AC"/>
    <w:rsid w:val="4D8471E6"/>
    <w:rsid w:val="4DDEA407"/>
    <w:rsid w:val="4DFE1851"/>
    <w:rsid w:val="4E3B4062"/>
    <w:rsid w:val="4E6FA5DE"/>
    <w:rsid w:val="4E8D60CC"/>
    <w:rsid w:val="4EEFC973"/>
    <w:rsid w:val="4F0941B3"/>
    <w:rsid w:val="4F223538"/>
    <w:rsid w:val="4F5B7989"/>
    <w:rsid w:val="4F9F5752"/>
    <w:rsid w:val="4F9F7805"/>
    <w:rsid w:val="4FAF7B9D"/>
    <w:rsid w:val="4FB373AD"/>
    <w:rsid w:val="4FBC1FB9"/>
    <w:rsid w:val="4FBFBDCB"/>
    <w:rsid w:val="4FEF4937"/>
    <w:rsid w:val="4FFA692E"/>
    <w:rsid w:val="4FFDCA27"/>
    <w:rsid w:val="4FFF47D7"/>
    <w:rsid w:val="519C2308"/>
    <w:rsid w:val="523F0E0F"/>
    <w:rsid w:val="525FE9FD"/>
    <w:rsid w:val="5264705C"/>
    <w:rsid w:val="52E5E8F6"/>
    <w:rsid w:val="52F7634F"/>
    <w:rsid w:val="53A7562D"/>
    <w:rsid w:val="53C624C4"/>
    <w:rsid w:val="53DE59A3"/>
    <w:rsid w:val="53F78797"/>
    <w:rsid w:val="546D3197"/>
    <w:rsid w:val="55145688"/>
    <w:rsid w:val="56637E42"/>
    <w:rsid w:val="567E061C"/>
    <w:rsid w:val="56FB62D3"/>
    <w:rsid w:val="573765DD"/>
    <w:rsid w:val="574BD202"/>
    <w:rsid w:val="57553914"/>
    <w:rsid w:val="577298FB"/>
    <w:rsid w:val="57CEFABA"/>
    <w:rsid w:val="57CF0095"/>
    <w:rsid w:val="57DF6139"/>
    <w:rsid w:val="57E22B5D"/>
    <w:rsid w:val="57F7224A"/>
    <w:rsid w:val="587876F3"/>
    <w:rsid w:val="58E768E6"/>
    <w:rsid w:val="592A5972"/>
    <w:rsid w:val="593A60CE"/>
    <w:rsid w:val="597C6F4F"/>
    <w:rsid w:val="597F0F2F"/>
    <w:rsid w:val="59EF84C4"/>
    <w:rsid w:val="59F7DF24"/>
    <w:rsid w:val="5A167869"/>
    <w:rsid w:val="5A2B7B92"/>
    <w:rsid w:val="5AB6BE21"/>
    <w:rsid w:val="5ABF4207"/>
    <w:rsid w:val="5AEF6C55"/>
    <w:rsid w:val="5B6F553A"/>
    <w:rsid w:val="5B9A07C8"/>
    <w:rsid w:val="5BEFC0E2"/>
    <w:rsid w:val="5BF752A4"/>
    <w:rsid w:val="5BF7531D"/>
    <w:rsid w:val="5BF7AB88"/>
    <w:rsid w:val="5BFA078F"/>
    <w:rsid w:val="5C1C64A7"/>
    <w:rsid w:val="5C7EE8D5"/>
    <w:rsid w:val="5C971DE1"/>
    <w:rsid w:val="5CBD24C3"/>
    <w:rsid w:val="5CBEA3AB"/>
    <w:rsid w:val="5CDF1B7F"/>
    <w:rsid w:val="5D8FD2BF"/>
    <w:rsid w:val="5DAD9219"/>
    <w:rsid w:val="5DBFCAAF"/>
    <w:rsid w:val="5DCE9E4F"/>
    <w:rsid w:val="5DEFA22F"/>
    <w:rsid w:val="5DEFA313"/>
    <w:rsid w:val="5DF2DC87"/>
    <w:rsid w:val="5DFA524E"/>
    <w:rsid w:val="5DFD8BDC"/>
    <w:rsid w:val="5DFEEC69"/>
    <w:rsid w:val="5E2DB3D6"/>
    <w:rsid w:val="5E3E3A0C"/>
    <w:rsid w:val="5E3E3F94"/>
    <w:rsid w:val="5E8FBC64"/>
    <w:rsid w:val="5E9F53F4"/>
    <w:rsid w:val="5EADF50E"/>
    <w:rsid w:val="5EFD105B"/>
    <w:rsid w:val="5EFF7DEC"/>
    <w:rsid w:val="5EFF9F82"/>
    <w:rsid w:val="5EFFF7A2"/>
    <w:rsid w:val="5EFFFA1C"/>
    <w:rsid w:val="5F2D2000"/>
    <w:rsid w:val="5F3FD4D2"/>
    <w:rsid w:val="5F5548B8"/>
    <w:rsid w:val="5F5F2C11"/>
    <w:rsid w:val="5F638B61"/>
    <w:rsid w:val="5F77E0F2"/>
    <w:rsid w:val="5F7BD443"/>
    <w:rsid w:val="5F946EA0"/>
    <w:rsid w:val="5FACAC67"/>
    <w:rsid w:val="5FAD6221"/>
    <w:rsid w:val="5FDFAE70"/>
    <w:rsid w:val="5FEAB81D"/>
    <w:rsid w:val="5FEFCFA4"/>
    <w:rsid w:val="5FF3337F"/>
    <w:rsid w:val="5FF4A4F2"/>
    <w:rsid w:val="5FF5E6F1"/>
    <w:rsid w:val="5FF62B84"/>
    <w:rsid w:val="5FF7920B"/>
    <w:rsid w:val="5FFA487F"/>
    <w:rsid w:val="5FFE76B5"/>
    <w:rsid w:val="5FFF5502"/>
    <w:rsid w:val="5FFF6CB7"/>
    <w:rsid w:val="5FFFE8D8"/>
    <w:rsid w:val="603A1B83"/>
    <w:rsid w:val="604C67D0"/>
    <w:rsid w:val="61917128"/>
    <w:rsid w:val="62563052"/>
    <w:rsid w:val="62F6EBD7"/>
    <w:rsid w:val="62FE5DD0"/>
    <w:rsid w:val="63F319AD"/>
    <w:rsid w:val="645F8F82"/>
    <w:rsid w:val="64B543E4"/>
    <w:rsid w:val="64DE4DE5"/>
    <w:rsid w:val="65CFA5EB"/>
    <w:rsid w:val="65F968A0"/>
    <w:rsid w:val="666719F2"/>
    <w:rsid w:val="666D6515"/>
    <w:rsid w:val="66794046"/>
    <w:rsid w:val="66B7F32A"/>
    <w:rsid w:val="66E367F0"/>
    <w:rsid w:val="66FD4E61"/>
    <w:rsid w:val="672FE0B4"/>
    <w:rsid w:val="676853A3"/>
    <w:rsid w:val="67B35CBC"/>
    <w:rsid w:val="67BACCB0"/>
    <w:rsid w:val="67D5BD7F"/>
    <w:rsid w:val="67DFA2C1"/>
    <w:rsid w:val="67DFC43E"/>
    <w:rsid w:val="67F71E8C"/>
    <w:rsid w:val="67FACB40"/>
    <w:rsid w:val="67FD9CC4"/>
    <w:rsid w:val="681F076F"/>
    <w:rsid w:val="687D00F0"/>
    <w:rsid w:val="694E2E18"/>
    <w:rsid w:val="695E3A1A"/>
    <w:rsid w:val="699B4EBF"/>
    <w:rsid w:val="69BB515D"/>
    <w:rsid w:val="69EB515B"/>
    <w:rsid w:val="69F4F665"/>
    <w:rsid w:val="6AAF73D7"/>
    <w:rsid w:val="6AFBF9F3"/>
    <w:rsid w:val="6AFFA596"/>
    <w:rsid w:val="6AFFF7EA"/>
    <w:rsid w:val="6B430C62"/>
    <w:rsid w:val="6B7FF74C"/>
    <w:rsid w:val="6B7FFF1F"/>
    <w:rsid w:val="6B97CAB0"/>
    <w:rsid w:val="6BBFCB7F"/>
    <w:rsid w:val="6BDBB50B"/>
    <w:rsid w:val="6BDE0B01"/>
    <w:rsid w:val="6BDE3D07"/>
    <w:rsid w:val="6BEF28A4"/>
    <w:rsid w:val="6BFA0C3A"/>
    <w:rsid w:val="6BFB1329"/>
    <w:rsid w:val="6BFCFDB4"/>
    <w:rsid w:val="6BFDF6DD"/>
    <w:rsid w:val="6BFF62EE"/>
    <w:rsid w:val="6BFFFDCE"/>
    <w:rsid w:val="6C77E168"/>
    <w:rsid w:val="6C8F97BB"/>
    <w:rsid w:val="6C9D4FDB"/>
    <w:rsid w:val="6CF78E73"/>
    <w:rsid w:val="6CFD364B"/>
    <w:rsid w:val="6CFF3236"/>
    <w:rsid w:val="6D776BE9"/>
    <w:rsid w:val="6D784657"/>
    <w:rsid w:val="6DAB9F4A"/>
    <w:rsid w:val="6DB480F0"/>
    <w:rsid w:val="6DBC7F50"/>
    <w:rsid w:val="6DDF3015"/>
    <w:rsid w:val="6DE34217"/>
    <w:rsid w:val="6DFD89AB"/>
    <w:rsid w:val="6DFF77FF"/>
    <w:rsid w:val="6DFF7CE5"/>
    <w:rsid w:val="6DFFDF5C"/>
    <w:rsid w:val="6E86534F"/>
    <w:rsid w:val="6EA70F17"/>
    <w:rsid w:val="6EEF61ED"/>
    <w:rsid w:val="6EEFAB9C"/>
    <w:rsid w:val="6EF20A0C"/>
    <w:rsid w:val="6EF34BF0"/>
    <w:rsid w:val="6EFF2C30"/>
    <w:rsid w:val="6F3714A4"/>
    <w:rsid w:val="6F58B806"/>
    <w:rsid w:val="6F693955"/>
    <w:rsid w:val="6F7BA06B"/>
    <w:rsid w:val="6F8F868F"/>
    <w:rsid w:val="6FAF58A4"/>
    <w:rsid w:val="6FB1368F"/>
    <w:rsid w:val="6FB46350"/>
    <w:rsid w:val="6FB5FD55"/>
    <w:rsid w:val="6FDA4BEE"/>
    <w:rsid w:val="6FDCDA12"/>
    <w:rsid w:val="6FDD3E4D"/>
    <w:rsid w:val="6FDF1573"/>
    <w:rsid w:val="6FDFA2E2"/>
    <w:rsid w:val="6FE75998"/>
    <w:rsid w:val="6FEB315A"/>
    <w:rsid w:val="6FF52D3F"/>
    <w:rsid w:val="6FF920BD"/>
    <w:rsid w:val="6FF94368"/>
    <w:rsid w:val="6FF9A8F2"/>
    <w:rsid w:val="6FFBADA0"/>
    <w:rsid w:val="6FFBC7EC"/>
    <w:rsid w:val="6FFF0DDD"/>
    <w:rsid w:val="6FFF589A"/>
    <w:rsid w:val="6FFF9CD4"/>
    <w:rsid w:val="700B0B55"/>
    <w:rsid w:val="71A239C7"/>
    <w:rsid w:val="71BF7DE7"/>
    <w:rsid w:val="71E96BEA"/>
    <w:rsid w:val="71F5836E"/>
    <w:rsid w:val="723BFC20"/>
    <w:rsid w:val="72BF6F64"/>
    <w:rsid w:val="72CF29BC"/>
    <w:rsid w:val="72D5E64A"/>
    <w:rsid w:val="72D7F4D6"/>
    <w:rsid w:val="72DE9C3A"/>
    <w:rsid w:val="733FFA0C"/>
    <w:rsid w:val="737F1A10"/>
    <w:rsid w:val="737FB436"/>
    <w:rsid w:val="73A74128"/>
    <w:rsid w:val="73E341D7"/>
    <w:rsid w:val="73EF6E76"/>
    <w:rsid w:val="73F3113D"/>
    <w:rsid w:val="73F5BBAB"/>
    <w:rsid w:val="73F7C75D"/>
    <w:rsid w:val="73FF7146"/>
    <w:rsid w:val="74CC3439"/>
    <w:rsid w:val="74CFBE8F"/>
    <w:rsid w:val="74DB51EF"/>
    <w:rsid w:val="754603F3"/>
    <w:rsid w:val="7549AFDB"/>
    <w:rsid w:val="757FEE23"/>
    <w:rsid w:val="75DD3335"/>
    <w:rsid w:val="75FDDA33"/>
    <w:rsid w:val="7645ACED"/>
    <w:rsid w:val="767FEE16"/>
    <w:rsid w:val="769D5B98"/>
    <w:rsid w:val="76F46070"/>
    <w:rsid w:val="76F77E95"/>
    <w:rsid w:val="76FF1AF1"/>
    <w:rsid w:val="76FF2AE5"/>
    <w:rsid w:val="773B629F"/>
    <w:rsid w:val="773FCDD6"/>
    <w:rsid w:val="774F9B63"/>
    <w:rsid w:val="7757C39E"/>
    <w:rsid w:val="775B5F83"/>
    <w:rsid w:val="777D70B5"/>
    <w:rsid w:val="777FE420"/>
    <w:rsid w:val="7787C420"/>
    <w:rsid w:val="779B7134"/>
    <w:rsid w:val="779F0040"/>
    <w:rsid w:val="77A72523"/>
    <w:rsid w:val="77AAC227"/>
    <w:rsid w:val="77AB166E"/>
    <w:rsid w:val="77AFB2E9"/>
    <w:rsid w:val="77B7ED61"/>
    <w:rsid w:val="77BB44AE"/>
    <w:rsid w:val="77BC384A"/>
    <w:rsid w:val="77BF52F3"/>
    <w:rsid w:val="77E1B014"/>
    <w:rsid w:val="77E2C2E9"/>
    <w:rsid w:val="77E7801B"/>
    <w:rsid w:val="77EB9F01"/>
    <w:rsid w:val="77ED4D3E"/>
    <w:rsid w:val="77EEDD29"/>
    <w:rsid w:val="77F449DE"/>
    <w:rsid w:val="77F995FD"/>
    <w:rsid w:val="77FBCCC3"/>
    <w:rsid w:val="77FCDF40"/>
    <w:rsid w:val="77FD2F30"/>
    <w:rsid w:val="77FD4319"/>
    <w:rsid w:val="77FE25FB"/>
    <w:rsid w:val="77FEFB1A"/>
    <w:rsid w:val="77FF31FC"/>
    <w:rsid w:val="77FF510C"/>
    <w:rsid w:val="77FF841C"/>
    <w:rsid w:val="77FFC15E"/>
    <w:rsid w:val="77FFCFEC"/>
    <w:rsid w:val="78C6F7B0"/>
    <w:rsid w:val="78DF167F"/>
    <w:rsid w:val="78E3028C"/>
    <w:rsid w:val="78EF8A8A"/>
    <w:rsid w:val="78FB5666"/>
    <w:rsid w:val="793F41D2"/>
    <w:rsid w:val="79486971"/>
    <w:rsid w:val="79571A69"/>
    <w:rsid w:val="79BDB71E"/>
    <w:rsid w:val="79CFA83E"/>
    <w:rsid w:val="79DE14A0"/>
    <w:rsid w:val="79DFE3F9"/>
    <w:rsid w:val="79F40CE5"/>
    <w:rsid w:val="79FD21DA"/>
    <w:rsid w:val="79FE431F"/>
    <w:rsid w:val="7A36E762"/>
    <w:rsid w:val="7A9E63E5"/>
    <w:rsid w:val="7AB3F610"/>
    <w:rsid w:val="7AC74672"/>
    <w:rsid w:val="7ACEB70A"/>
    <w:rsid w:val="7AD2758C"/>
    <w:rsid w:val="7AD992B3"/>
    <w:rsid w:val="7ADF10C7"/>
    <w:rsid w:val="7AE5760B"/>
    <w:rsid w:val="7AEFB02F"/>
    <w:rsid w:val="7AF927D0"/>
    <w:rsid w:val="7AFC565C"/>
    <w:rsid w:val="7AFF43CD"/>
    <w:rsid w:val="7AFF4E47"/>
    <w:rsid w:val="7AFFAD1F"/>
    <w:rsid w:val="7B27A6AF"/>
    <w:rsid w:val="7B3B38FB"/>
    <w:rsid w:val="7B6694A8"/>
    <w:rsid w:val="7B7552F0"/>
    <w:rsid w:val="7B797E6B"/>
    <w:rsid w:val="7BAF4F39"/>
    <w:rsid w:val="7BB9463F"/>
    <w:rsid w:val="7BBF0A36"/>
    <w:rsid w:val="7BD0C343"/>
    <w:rsid w:val="7BD31744"/>
    <w:rsid w:val="7BD56B96"/>
    <w:rsid w:val="7BD8C0E2"/>
    <w:rsid w:val="7BDCAE3F"/>
    <w:rsid w:val="7BDCD1BA"/>
    <w:rsid w:val="7BDFD82F"/>
    <w:rsid w:val="7BEA03F1"/>
    <w:rsid w:val="7BEB3F8A"/>
    <w:rsid w:val="7BEF9EF1"/>
    <w:rsid w:val="7BEFD84A"/>
    <w:rsid w:val="7BF73F41"/>
    <w:rsid w:val="7BFA83BE"/>
    <w:rsid w:val="7BFACDEE"/>
    <w:rsid w:val="7BFB56EA"/>
    <w:rsid w:val="7BFB9DA1"/>
    <w:rsid w:val="7BFBD686"/>
    <w:rsid w:val="7BFDAED7"/>
    <w:rsid w:val="7BFE21EB"/>
    <w:rsid w:val="7BFF3C53"/>
    <w:rsid w:val="7BFFA72A"/>
    <w:rsid w:val="7BFFEDE0"/>
    <w:rsid w:val="7C5DA667"/>
    <w:rsid w:val="7C6D51D4"/>
    <w:rsid w:val="7C706565"/>
    <w:rsid w:val="7C7FDB72"/>
    <w:rsid w:val="7C9B7F2A"/>
    <w:rsid w:val="7CBB28C3"/>
    <w:rsid w:val="7CD6D4C8"/>
    <w:rsid w:val="7CDB7655"/>
    <w:rsid w:val="7CDF6BE0"/>
    <w:rsid w:val="7CEADA56"/>
    <w:rsid w:val="7CEF3F40"/>
    <w:rsid w:val="7CF96685"/>
    <w:rsid w:val="7CFB3CF5"/>
    <w:rsid w:val="7CFD38AE"/>
    <w:rsid w:val="7CFEEBD1"/>
    <w:rsid w:val="7CFF17D1"/>
    <w:rsid w:val="7CFF57A0"/>
    <w:rsid w:val="7D5FA010"/>
    <w:rsid w:val="7D5FCF7E"/>
    <w:rsid w:val="7D5FE2A1"/>
    <w:rsid w:val="7D6D75C8"/>
    <w:rsid w:val="7D757558"/>
    <w:rsid w:val="7D79AFE2"/>
    <w:rsid w:val="7D7B3A7F"/>
    <w:rsid w:val="7D7DD50B"/>
    <w:rsid w:val="7D8417DA"/>
    <w:rsid w:val="7D9D9615"/>
    <w:rsid w:val="7DB6E562"/>
    <w:rsid w:val="7DBA6663"/>
    <w:rsid w:val="7DBFDF50"/>
    <w:rsid w:val="7DCE8DAF"/>
    <w:rsid w:val="7DCFCF13"/>
    <w:rsid w:val="7DDFE857"/>
    <w:rsid w:val="7DEA746B"/>
    <w:rsid w:val="7DEBA8E8"/>
    <w:rsid w:val="7DECDEEB"/>
    <w:rsid w:val="7DEEC783"/>
    <w:rsid w:val="7DEFBBA7"/>
    <w:rsid w:val="7DF32400"/>
    <w:rsid w:val="7DF71529"/>
    <w:rsid w:val="7DF79BDE"/>
    <w:rsid w:val="7DF91AE1"/>
    <w:rsid w:val="7DFD4EBC"/>
    <w:rsid w:val="7DFD5981"/>
    <w:rsid w:val="7DFD88B5"/>
    <w:rsid w:val="7DFE9E22"/>
    <w:rsid w:val="7DFF8007"/>
    <w:rsid w:val="7DFFE96A"/>
    <w:rsid w:val="7DFFFF7F"/>
    <w:rsid w:val="7E09239B"/>
    <w:rsid w:val="7E5ECD09"/>
    <w:rsid w:val="7E77DEE8"/>
    <w:rsid w:val="7E7E2E63"/>
    <w:rsid w:val="7E7F0509"/>
    <w:rsid w:val="7E831A8C"/>
    <w:rsid w:val="7E8705DE"/>
    <w:rsid w:val="7E9E7AB4"/>
    <w:rsid w:val="7EA6C610"/>
    <w:rsid w:val="7EAC2D6D"/>
    <w:rsid w:val="7EAF3C2D"/>
    <w:rsid w:val="7EB6B112"/>
    <w:rsid w:val="7EB87D45"/>
    <w:rsid w:val="7EBD7D73"/>
    <w:rsid w:val="7ECB57C4"/>
    <w:rsid w:val="7EDB53C0"/>
    <w:rsid w:val="7EE23081"/>
    <w:rsid w:val="7EEE4DFC"/>
    <w:rsid w:val="7EF760FE"/>
    <w:rsid w:val="7EFB0B86"/>
    <w:rsid w:val="7EFBA3C1"/>
    <w:rsid w:val="7EFF16B7"/>
    <w:rsid w:val="7EFF6636"/>
    <w:rsid w:val="7EFFB254"/>
    <w:rsid w:val="7F032B74"/>
    <w:rsid w:val="7F0BD516"/>
    <w:rsid w:val="7F2CB51F"/>
    <w:rsid w:val="7F2F7763"/>
    <w:rsid w:val="7F3793AB"/>
    <w:rsid w:val="7F3B8BA6"/>
    <w:rsid w:val="7F3F92BE"/>
    <w:rsid w:val="7F5699A3"/>
    <w:rsid w:val="7F6265F0"/>
    <w:rsid w:val="7F6EBB09"/>
    <w:rsid w:val="7F6F9D70"/>
    <w:rsid w:val="7F76369E"/>
    <w:rsid w:val="7F779C01"/>
    <w:rsid w:val="7F79092B"/>
    <w:rsid w:val="7F7B926F"/>
    <w:rsid w:val="7F7BFB90"/>
    <w:rsid w:val="7F7F6C33"/>
    <w:rsid w:val="7F7FD628"/>
    <w:rsid w:val="7F7FE9C8"/>
    <w:rsid w:val="7F7FF374"/>
    <w:rsid w:val="7F85843F"/>
    <w:rsid w:val="7F93FB2D"/>
    <w:rsid w:val="7F9FAA2E"/>
    <w:rsid w:val="7FB5AA81"/>
    <w:rsid w:val="7FB77EAC"/>
    <w:rsid w:val="7FB79BFA"/>
    <w:rsid w:val="7FBA0E4C"/>
    <w:rsid w:val="7FBBA8DF"/>
    <w:rsid w:val="7FBBA9D7"/>
    <w:rsid w:val="7FBBCCB4"/>
    <w:rsid w:val="7FBD7F54"/>
    <w:rsid w:val="7FBDD891"/>
    <w:rsid w:val="7FBE65BE"/>
    <w:rsid w:val="7FBEE7B0"/>
    <w:rsid w:val="7FBF3750"/>
    <w:rsid w:val="7FBFE320"/>
    <w:rsid w:val="7FC678AB"/>
    <w:rsid w:val="7FCF01C8"/>
    <w:rsid w:val="7FCF7C3C"/>
    <w:rsid w:val="7FD13E09"/>
    <w:rsid w:val="7FD5854A"/>
    <w:rsid w:val="7FD6B0DB"/>
    <w:rsid w:val="7FD7026E"/>
    <w:rsid w:val="7FD9A482"/>
    <w:rsid w:val="7FDBA0AC"/>
    <w:rsid w:val="7FDEC4EC"/>
    <w:rsid w:val="7FDF36B4"/>
    <w:rsid w:val="7FDF7D66"/>
    <w:rsid w:val="7FDF9EA4"/>
    <w:rsid w:val="7FE3663C"/>
    <w:rsid w:val="7FEC517E"/>
    <w:rsid w:val="7FECCAEA"/>
    <w:rsid w:val="7FEF133A"/>
    <w:rsid w:val="7FEF1C57"/>
    <w:rsid w:val="7FEFB8E7"/>
    <w:rsid w:val="7FEFBFA5"/>
    <w:rsid w:val="7FEFDD10"/>
    <w:rsid w:val="7FF31245"/>
    <w:rsid w:val="7FF38E5D"/>
    <w:rsid w:val="7FF5631C"/>
    <w:rsid w:val="7FF68400"/>
    <w:rsid w:val="7FF7129C"/>
    <w:rsid w:val="7FF71EBC"/>
    <w:rsid w:val="7FF7586D"/>
    <w:rsid w:val="7FF75A22"/>
    <w:rsid w:val="7FF89F13"/>
    <w:rsid w:val="7FF9676B"/>
    <w:rsid w:val="7FFA7894"/>
    <w:rsid w:val="7FFA8392"/>
    <w:rsid w:val="7FFB36C1"/>
    <w:rsid w:val="7FFB69A1"/>
    <w:rsid w:val="7FFBDF69"/>
    <w:rsid w:val="7FFD7543"/>
    <w:rsid w:val="7FFE1FAA"/>
    <w:rsid w:val="7FFE372B"/>
    <w:rsid w:val="7FFE63FE"/>
    <w:rsid w:val="7FFEF15B"/>
    <w:rsid w:val="7FFF16C0"/>
    <w:rsid w:val="7FFF175D"/>
    <w:rsid w:val="7FFF23EB"/>
    <w:rsid w:val="7FFF2AA8"/>
    <w:rsid w:val="7FFF455D"/>
    <w:rsid w:val="7FFF548E"/>
    <w:rsid w:val="7FFF74F5"/>
    <w:rsid w:val="7FFF92A2"/>
    <w:rsid w:val="7FFFA62C"/>
    <w:rsid w:val="7FFFADE7"/>
    <w:rsid w:val="7FFFCAD6"/>
    <w:rsid w:val="7FFFEB37"/>
    <w:rsid w:val="7FFFFCFA"/>
    <w:rsid w:val="81DE8A64"/>
    <w:rsid w:val="867B77B2"/>
    <w:rsid w:val="86F7ABB2"/>
    <w:rsid w:val="86FE456C"/>
    <w:rsid w:val="86FF79FE"/>
    <w:rsid w:val="87E79392"/>
    <w:rsid w:val="87EB44F4"/>
    <w:rsid w:val="89CBD783"/>
    <w:rsid w:val="8EF94DA0"/>
    <w:rsid w:val="8FF6FCB2"/>
    <w:rsid w:val="91FFAB97"/>
    <w:rsid w:val="93745E2F"/>
    <w:rsid w:val="96B1C97D"/>
    <w:rsid w:val="96FDABA9"/>
    <w:rsid w:val="97FC64F0"/>
    <w:rsid w:val="97FD0B5D"/>
    <w:rsid w:val="97FFE0B9"/>
    <w:rsid w:val="9A7FFCFD"/>
    <w:rsid w:val="9BBE3C52"/>
    <w:rsid w:val="9BC70105"/>
    <w:rsid w:val="9BDEBD9C"/>
    <w:rsid w:val="9BE57794"/>
    <w:rsid w:val="9CA64E8F"/>
    <w:rsid w:val="9D9D22A8"/>
    <w:rsid w:val="9DBB4219"/>
    <w:rsid w:val="9DDB3D60"/>
    <w:rsid w:val="9DDF3CD4"/>
    <w:rsid w:val="9DECC268"/>
    <w:rsid w:val="9DED3F3E"/>
    <w:rsid w:val="9DF74883"/>
    <w:rsid w:val="9DFE3E05"/>
    <w:rsid w:val="9E679CB7"/>
    <w:rsid w:val="9EEB146D"/>
    <w:rsid w:val="9EEF809F"/>
    <w:rsid w:val="9F3822EB"/>
    <w:rsid w:val="9F3FD861"/>
    <w:rsid w:val="9F5EE5A3"/>
    <w:rsid w:val="9FC582E8"/>
    <w:rsid w:val="9FDF44C1"/>
    <w:rsid w:val="9FDFE81A"/>
    <w:rsid w:val="9FF64F74"/>
    <w:rsid w:val="9FFB2A3B"/>
    <w:rsid w:val="9FFF1DE9"/>
    <w:rsid w:val="9FFF2438"/>
    <w:rsid w:val="9FFF7BB6"/>
    <w:rsid w:val="A296ED8B"/>
    <w:rsid w:val="A5FA5F78"/>
    <w:rsid w:val="A5FF32F8"/>
    <w:rsid w:val="A67F4D69"/>
    <w:rsid w:val="A6B7B82E"/>
    <w:rsid w:val="A7A65D83"/>
    <w:rsid w:val="A7BB3541"/>
    <w:rsid w:val="A7F5488C"/>
    <w:rsid w:val="A7F7932B"/>
    <w:rsid w:val="A97B95EB"/>
    <w:rsid w:val="A9D72EE8"/>
    <w:rsid w:val="AABF6581"/>
    <w:rsid w:val="AABFAFA6"/>
    <w:rsid w:val="ABC7792A"/>
    <w:rsid w:val="ABEF1EC1"/>
    <w:rsid w:val="AD6F0D43"/>
    <w:rsid w:val="AD75EBE8"/>
    <w:rsid w:val="AD96D654"/>
    <w:rsid w:val="AD9D0931"/>
    <w:rsid w:val="ADEF29D6"/>
    <w:rsid w:val="ADF72869"/>
    <w:rsid w:val="ADFF1356"/>
    <w:rsid w:val="ADFFFA16"/>
    <w:rsid w:val="AEF93BE8"/>
    <w:rsid w:val="AF37CF0F"/>
    <w:rsid w:val="AF5B8740"/>
    <w:rsid w:val="AF6BB9A7"/>
    <w:rsid w:val="AF7E5389"/>
    <w:rsid w:val="AF7F1A5D"/>
    <w:rsid w:val="AFAF7EBA"/>
    <w:rsid w:val="AFBF53F8"/>
    <w:rsid w:val="AFD75867"/>
    <w:rsid w:val="AFDDDC98"/>
    <w:rsid w:val="AFE635A6"/>
    <w:rsid w:val="AFE6E88A"/>
    <w:rsid w:val="AFEEF27B"/>
    <w:rsid w:val="AFFF5D4E"/>
    <w:rsid w:val="AFFF96F3"/>
    <w:rsid w:val="B28DA59B"/>
    <w:rsid w:val="B2E8EF9A"/>
    <w:rsid w:val="B389051B"/>
    <w:rsid w:val="B3FE4783"/>
    <w:rsid w:val="B3FFDFAF"/>
    <w:rsid w:val="B56F6A77"/>
    <w:rsid w:val="B5B5ABC2"/>
    <w:rsid w:val="B5EF014A"/>
    <w:rsid w:val="B5F75B1B"/>
    <w:rsid w:val="B5FE4627"/>
    <w:rsid w:val="B63708CF"/>
    <w:rsid w:val="B66F81DD"/>
    <w:rsid w:val="B6AB89E6"/>
    <w:rsid w:val="B6B6D2D2"/>
    <w:rsid w:val="B6B792EB"/>
    <w:rsid w:val="B6BF9423"/>
    <w:rsid w:val="B6C735A6"/>
    <w:rsid w:val="B76F34DF"/>
    <w:rsid w:val="B7B392D3"/>
    <w:rsid w:val="B7BF9A60"/>
    <w:rsid w:val="B7CB15CF"/>
    <w:rsid w:val="B7D74144"/>
    <w:rsid w:val="B7ED3834"/>
    <w:rsid w:val="B7EE3F12"/>
    <w:rsid w:val="B7EF5A77"/>
    <w:rsid w:val="B7EFC413"/>
    <w:rsid w:val="B7F6E26C"/>
    <w:rsid w:val="B7FCC292"/>
    <w:rsid w:val="B7FE381D"/>
    <w:rsid w:val="B9EE6485"/>
    <w:rsid w:val="B9EFE571"/>
    <w:rsid w:val="B9F8EBA3"/>
    <w:rsid w:val="BAB4B8FE"/>
    <w:rsid w:val="BAD9FD9E"/>
    <w:rsid w:val="BB3F1E8B"/>
    <w:rsid w:val="BB67E2A0"/>
    <w:rsid w:val="BBBFD169"/>
    <w:rsid w:val="BBC915F8"/>
    <w:rsid w:val="BBC990E6"/>
    <w:rsid w:val="BBEFA292"/>
    <w:rsid w:val="BBEFC006"/>
    <w:rsid w:val="BBEFCFD4"/>
    <w:rsid w:val="BBF5B21C"/>
    <w:rsid w:val="BBF7907D"/>
    <w:rsid w:val="BBF9D07E"/>
    <w:rsid w:val="BBFB412C"/>
    <w:rsid w:val="BBFB5D1D"/>
    <w:rsid w:val="BBFE7354"/>
    <w:rsid w:val="BBFF3A54"/>
    <w:rsid w:val="BC734A90"/>
    <w:rsid w:val="BCB5CB40"/>
    <w:rsid w:val="BCBE1D1F"/>
    <w:rsid w:val="BCDF1D8B"/>
    <w:rsid w:val="BD3F3777"/>
    <w:rsid w:val="BD5942E7"/>
    <w:rsid w:val="BDBB7E86"/>
    <w:rsid w:val="BDD8185B"/>
    <w:rsid w:val="BDDE6F2A"/>
    <w:rsid w:val="BDFAF5A1"/>
    <w:rsid w:val="BDFB0234"/>
    <w:rsid w:val="BDFB8CB0"/>
    <w:rsid w:val="BE5179C7"/>
    <w:rsid w:val="BE6C34B1"/>
    <w:rsid w:val="BEB780C9"/>
    <w:rsid w:val="BEBF3716"/>
    <w:rsid w:val="BEDC873B"/>
    <w:rsid w:val="BEDE51DA"/>
    <w:rsid w:val="BEEBDD3E"/>
    <w:rsid w:val="BEF4DC9C"/>
    <w:rsid w:val="BEF75329"/>
    <w:rsid w:val="BEF7CFBF"/>
    <w:rsid w:val="BEFD8551"/>
    <w:rsid w:val="BEFED45E"/>
    <w:rsid w:val="BEFF7023"/>
    <w:rsid w:val="BF3DC620"/>
    <w:rsid w:val="BF77E6CC"/>
    <w:rsid w:val="BF7FCCD3"/>
    <w:rsid w:val="BF9683D8"/>
    <w:rsid w:val="BF9B663A"/>
    <w:rsid w:val="BF9B9351"/>
    <w:rsid w:val="BFBE8B73"/>
    <w:rsid w:val="BFBF37FF"/>
    <w:rsid w:val="BFC55A2C"/>
    <w:rsid w:val="BFCFE921"/>
    <w:rsid w:val="BFDEBF65"/>
    <w:rsid w:val="BFDF3AA3"/>
    <w:rsid w:val="BFEF6988"/>
    <w:rsid w:val="BFF2B76E"/>
    <w:rsid w:val="BFF73BC5"/>
    <w:rsid w:val="BFF73FC6"/>
    <w:rsid w:val="BFF99338"/>
    <w:rsid w:val="BFFA71F1"/>
    <w:rsid w:val="BFFB1509"/>
    <w:rsid w:val="BFFB499B"/>
    <w:rsid w:val="BFFB7DFE"/>
    <w:rsid w:val="BFFD68A3"/>
    <w:rsid w:val="BFFEB5C0"/>
    <w:rsid w:val="BFFF9065"/>
    <w:rsid w:val="BFFFBADA"/>
    <w:rsid w:val="C1B77A04"/>
    <w:rsid w:val="C2DF63ED"/>
    <w:rsid w:val="C32E2564"/>
    <w:rsid w:val="C3B97C51"/>
    <w:rsid w:val="C3F974DD"/>
    <w:rsid w:val="C3FF7E7F"/>
    <w:rsid w:val="C4BE6325"/>
    <w:rsid w:val="C5D72666"/>
    <w:rsid w:val="C5EF6329"/>
    <w:rsid w:val="C6EF71B2"/>
    <w:rsid w:val="C76D849D"/>
    <w:rsid w:val="C7D292B7"/>
    <w:rsid w:val="C7FEB27F"/>
    <w:rsid w:val="C7FFA0F3"/>
    <w:rsid w:val="C9FFCB0F"/>
    <w:rsid w:val="CA39079B"/>
    <w:rsid w:val="CAB703D9"/>
    <w:rsid w:val="CB1F11B5"/>
    <w:rsid w:val="CB6B75EE"/>
    <w:rsid w:val="CBDE3D2E"/>
    <w:rsid w:val="CBEF484A"/>
    <w:rsid w:val="CD378D90"/>
    <w:rsid w:val="CD735A41"/>
    <w:rsid w:val="CD776502"/>
    <w:rsid w:val="CDEF62E5"/>
    <w:rsid w:val="CDF0A7DE"/>
    <w:rsid w:val="CE7E0C55"/>
    <w:rsid w:val="CEDFADCF"/>
    <w:rsid w:val="CEEB436E"/>
    <w:rsid w:val="CEED8F55"/>
    <w:rsid w:val="CF7FD397"/>
    <w:rsid w:val="CFBAA7AA"/>
    <w:rsid w:val="CFBCC0A2"/>
    <w:rsid w:val="CFBE25C5"/>
    <w:rsid w:val="CFBFA471"/>
    <w:rsid w:val="CFC5C015"/>
    <w:rsid w:val="CFDF2C8C"/>
    <w:rsid w:val="CFE66794"/>
    <w:rsid w:val="CFF2FB6B"/>
    <w:rsid w:val="CFF77B38"/>
    <w:rsid w:val="D27FC83F"/>
    <w:rsid w:val="D2B7E8C7"/>
    <w:rsid w:val="D2FA60F0"/>
    <w:rsid w:val="D32F2330"/>
    <w:rsid w:val="D3E77D90"/>
    <w:rsid w:val="D3EF626C"/>
    <w:rsid w:val="D4D55EB5"/>
    <w:rsid w:val="D56E56CB"/>
    <w:rsid w:val="D592CAFC"/>
    <w:rsid w:val="D5BFC02D"/>
    <w:rsid w:val="D5FE730C"/>
    <w:rsid w:val="D5FFC777"/>
    <w:rsid w:val="D625DE26"/>
    <w:rsid w:val="D6FF2ADF"/>
    <w:rsid w:val="D725B3C2"/>
    <w:rsid w:val="D73A2B6D"/>
    <w:rsid w:val="D73F4B24"/>
    <w:rsid w:val="D77E59E9"/>
    <w:rsid w:val="D77ED4AC"/>
    <w:rsid w:val="D7B6CB25"/>
    <w:rsid w:val="D7BA646C"/>
    <w:rsid w:val="D7BEC457"/>
    <w:rsid w:val="D7CF08C5"/>
    <w:rsid w:val="D7DF8284"/>
    <w:rsid w:val="D7F485ED"/>
    <w:rsid w:val="D7F77837"/>
    <w:rsid w:val="D7F96687"/>
    <w:rsid w:val="D7FFE52D"/>
    <w:rsid w:val="D8FA6ABE"/>
    <w:rsid w:val="D98F0BAC"/>
    <w:rsid w:val="D9F64FD6"/>
    <w:rsid w:val="D9F9B20F"/>
    <w:rsid w:val="DA3F0717"/>
    <w:rsid w:val="DA778EDC"/>
    <w:rsid w:val="DACEF9ED"/>
    <w:rsid w:val="DAFD5869"/>
    <w:rsid w:val="DBBECA37"/>
    <w:rsid w:val="DBEF7660"/>
    <w:rsid w:val="DC5F9CB6"/>
    <w:rsid w:val="DCEBD6F6"/>
    <w:rsid w:val="DCF8F4D2"/>
    <w:rsid w:val="DD3FFE51"/>
    <w:rsid w:val="DD7F3256"/>
    <w:rsid w:val="DDBDDD0B"/>
    <w:rsid w:val="DDBEDCB9"/>
    <w:rsid w:val="DDBF82A0"/>
    <w:rsid w:val="DDE7F306"/>
    <w:rsid w:val="DDFD3F2E"/>
    <w:rsid w:val="DDFF1DE2"/>
    <w:rsid w:val="DDFF5660"/>
    <w:rsid w:val="DE14FADC"/>
    <w:rsid w:val="DE1F5115"/>
    <w:rsid w:val="DE93DE65"/>
    <w:rsid w:val="DEBD0F51"/>
    <w:rsid w:val="DEBD35C2"/>
    <w:rsid w:val="DED6328A"/>
    <w:rsid w:val="DEFD2BD8"/>
    <w:rsid w:val="DEFF4F65"/>
    <w:rsid w:val="DF4B0C6D"/>
    <w:rsid w:val="DF5F180C"/>
    <w:rsid w:val="DF7C9E45"/>
    <w:rsid w:val="DF7F68C0"/>
    <w:rsid w:val="DF7F6A0A"/>
    <w:rsid w:val="DF8D4DA5"/>
    <w:rsid w:val="DF8F0871"/>
    <w:rsid w:val="DF9769BB"/>
    <w:rsid w:val="DF9C8988"/>
    <w:rsid w:val="DFA35D3C"/>
    <w:rsid w:val="DFCD0C35"/>
    <w:rsid w:val="DFD2AD46"/>
    <w:rsid w:val="DFDFEB38"/>
    <w:rsid w:val="DFEBC8BE"/>
    <w:rsid w:val="DFF7B5DB"/>
    <w:rsid w:val="DFFA0E37"/>
    <w:rsid w:val="DFFDBE03"/>
    <w:rsid w:val="DFFF3928"/>
    <w:rsid w:val="DFFF4342"/>
    <w:rsid w:val="E1B6E20D"/>
    <w:rsid w:val="E2BFF9C7"/>
    <w:rsid w:val="E2F8CB88"/>
    <w:rsid w:val="E3EF83F8"/>
    <w:rsid w:val="E5B61D8D"/>
    <w:rsid w:val="E5F85D8A"/>
    <w:rsid w:val="E5FEFA2B"/>
    <w:rsid w:val="E6DD4B78"/>
    <w:rsid w:val="E6DE04C7"/>
    <w:rsid w:val="E72CBD59"/>
    <w:rsid w:val="E77C9F8B"/>
    <w:rsid w:val="E7AEF2BA"/>
    <w:rsid w:val="E7AF71B4"/>
    <w:rsid w:val="E7C93448"/>
    <w:rsid w:val="E7CD0C91"/>
    <w:rsid w:val="E7FB866A"/>
    <w:rsid w:val="E7FF35B5"/>
    <w:rsid w:val="E8714162"/>
    <w:rsid w:val="E96EC6CE"/>
    <w:rsid w:val="E9F93CF8"/>
    <w:rsid w:val="E9FD043B"/>
    <w:rsid w:val="E9FD1CC0"/>
    <w:rsid w:val="EA7A9D45"/>
    <w:rsid w:val="EA7B2696"/>
    <w:rsid w:val="EABFADB9"/>
    <w:rsid w:val="EB756D59"/>
    <w:rsid w:val="EB93685F"/>
    <w:rsid w:val="EBA7DFC3"/>
    <w:rsid w:val="EBBF12D5"/>
    <w:rsid w:val="EBBF74CF"/>
    <w:rsid w:val="EBDBC86C"/>
    <w:rsid w:val="EBEFDA3A"/>
    <w:rsid w:val="EBFD29CF"/>
    <w:rsid w:val="EBFD9A7B"/>
    <w:rsid w:val="EBFF8AD7"/>
    <w:rsid w:val="EC772805"/>
    <w:rsid w:val="ECC6366B"/>
    <w:rsid w:val="ECFF8C2D"/>
    <w:rsid w:val="ED0F9232"/>
    <w:rsid w:val="ED7F5571"/>
    <w:rsid w:val="ED9FE212"/>
    <w:rsid w:val="EDBDAEF0"/>
    <w:rsid w:val="EDCA5117"/>
    <w:rsid w:val="EDDFA31D"/>
    <w:rsid w:val="EDEBC12A"/>
    <w:rsid w:val="EDEE83B0"/>
    <w:rsid w:val="EDF9033E"/>
    <w:rsid w:val="EDFF3AAB"/>
    <w:rsid w:val="EDFF5FC7"/>
    <w:rsid w:val="EDFF7B94"/>
    <w:rsid w:val="EE2FF514"/>
    <w:rsid w:val="EE7F82DE"/>
    <w:rsid w:val="EE9E2808"/>
    <w:rsid w:val="EEABA7DD"/>
    <w:rsid w:val="EEE3C8B0"/>
    <w:rsid w:val="EEE5B330"/>
    <w:rsid w:val="EEEE3D68"/>
    <w:rsid w:val="EEF28066"/>
    <w:rsid w:val="EEFE8E1A"/>
    <w:rsid w:val="EF365C01"/>
    <w:rsid w:val="EF5BD4B1"/>
    <w:rsid w:val="EF5F803B"/>
    <w:rsid w:val="EF5FDE0E"/>
    <w:rsid w:val="EF7168FA"/>
    <w:rsid w:val="EF7BEE3B"/>
    <w:rsid w:val="EF7EB87A"/>
    <w:rsid w:val="EF7F6EFE"/>
    <w:rsid w:val="EF7FC045"/>
    <w:rsid w:val="EF7FE908"/>
    <w:rsid w:val="EF9B622D"/>
    <w:rsid w:val="EFB90EA5"/>
    <w:rsid w:val="EFBD8FA6"/>
    <w:rsid w:val="EFBF269F"/>
    <w:rsid w:val="EFCB8014"/>
    <w:rsid w:val="EFD15EEE"/>
    <w:rsid w:val="EFD739E0"/>
    <w:rsid w:val="EFDFEC43"/>
    <w:rsid w:val="EFEB2108"/>
    <w:rsid w:val="EFED919D"/>
    <w:rsid w:val="EFF06948"/>
    <w:rsid w:val="EFF950CE"/>
    <w:rsid w:val="EFF9BE2C"/>
    <w:rsid w:val="EFFB55AF"/>
    <w:rsid w:val="EFFBC357"/>
    <w:rsid w:val="EFFBF0C3"/>
    <w:rsid w:val="EFFD0E33"/>
    <w:rsid w:val="EFFE044E"/>
    <w:rsid w:val="EFFEEE56"/>
    <w:rsid w:val="EFFF6F64"/>
    <w:rsid w:val="EFFF7D51"/>
    <w:rsid w:val="EFFF837C"/>
    <w:rsid w:val="F15F1A5B"/>
    <w:rsid w:val="F1CF8054"/>
    <w:rsid w:val="F2779D76"/>
    <w:rsid w:val="F2FE8C85"/>
    <w:rsid w:val="F35FFAAA"/>
    <w:rsid w:val="F375F031"/>
    <w:rsid w:val="F37FA6FF"/>
    <w:rsid w:val="F39BEE37"/>
    <w:rsid w:val="F3A9ACCE"/>
    <w:rsid w:val="F3DF07F0"/>
    <w:rsid w:val="F3FD27E3"/>
    <w:rsid w:val="F3FE69A6"/>
    <w:rsid w:val="F4792AF7"/>
    <w:rsid w:val="F47F88DD"/>
    <w:rsid w:val="F4EDC705"/>
    <w:rsid w:val="F4FF2E2B"/>
    <w:rsid w:val="F52DAFC3"/>
    <w:rsid w:val="F54F3DE9"/>
    <w:rsid w:val="F5696338"/>
    <w:rsid w:val="F576E2CF"/>
    <w:rsid w:val="F57EFDA3"/>
    <w:rsid w:val="F5A6D098"/>
    <w:rsid w:val="F5AF79DE"/>
    <w:rsid w:val="F5C67371"/>
    <w:rsid w:val="F5EE643A"/>
    <w:rsid w:val="F5EFF652"/>
    <w:rsid w:val="F5F221BF"/>
    <w:rsid w:val="F5F7B61E"/>
    <w:rsid w:val="F5F7DCE2"/>
    <w:rsid w:val="F66D7DA6"/>
    <w:rsid w:val="F66F35C3"/>
    <w:rsid w:val="F66F6B5D"/>
    <w:rsid w:val="F67F9A3C"/>
    <w:rsid w:val="F6AF2BA5"/>
    <w:rsid w:val="F6BB715A"/>
    <w:rsid w:val="F6D7B15E"/>
    <w:rsid w:val="F6DFE564"/>
    <w:rsid w:val="F6F5D008"/>
    <w:rsid w:val="F6F73C86"/>
    <w:rsid w:val="F6FB959B"/>
    <w:rsid w:val="F6FE0227"/>
    <w:rsid w:val="F6FF1E3F"/>
    <w:rsid w:val="F6FF5E36"/>
    <w:rsid w:val="F7472567"/>
    <w:rsid w:val="F7667BC8"/>
    <w:rsid w:val="F76DA9F2"/>
    <w:rsid w:val="F779B8D0"/>
    <w:rsid w:val="F77EA520"/>
    <w:rsid w:val="F77EF905"/>
    <w:rsid w:val="F79C2B03"/>
    <w:rsid w:val="F79F9061"/>
    <w:rsid w:val="F7AFA5F9"/>
    <w:rsid w:val="F7B35C3B"/>
    <w:rsid w:val="F7B90894"/>
    <w:rsid w:val="F7B93E1C"/>
    <w:rsid w:val="F7B9F5EF"/>
    <w:rsid w:val="F7BE8404"/>
    <w:rsid w:val="F7CFBDAF"/>
    <w:rsid w:val="F7DDB3F9"/>
    <w:rsid w:val="F7E1F438"/>
    <w:rsid w:val="F7E5605B"/>
    <w:rsid w:val="F7EBD099"/>
    <w:rsid w:val="F7EFABF0"/>
    <w:rsid w:val="F7F72443"/>
    <w:rsid w:val="F7F725D2"/>
    <w:rsid w:val="F7F726B7"/>
    <w:rsid w:val="F7FB1DA6"/>
    <w:rsid w:val="F7FBC817"/>
    <w:rsid w:val="F7FBD686"/>
    <w:rsid w:val="F7FBF72C"/>
    <w:rsid w:val="F7FD66A6"/>
    <w:rsid w:val="F7FE5E1C"/>
    <w:rsid w:val="F7FE6D78"/>
    <w:rsid w:val="F86E08C3"/>
    <w:rsid w:val="F886A474"/>
    <w:rsid w:val="F8B70686"/>
    <w:rsid w:val="F97F6A67"/>
    <w:rsid w:val="F9EC4785"/>
    <w:rsid w:val="F9FA9BE1"/>
    <w:rsid w:val="F9FB08D5"/>
    <w:rsid w:val="F9FD3415"/>
    <w:rsid w:val="F9FE181D"/>
    <w:rsid w:val="F9FFD397"/>
    <w:rsid w:val="FA5B0335"/>
    <w:rsid w:val="FA5F765E"/>
    <w:rsid w:val="FAEE45C5"/>
    <w:rsid w:val="FAEFC629"/>
    <w:rsid w:val="FAF757E9"/>
    <w:rsid w:val="FAFF9C3D"/>
    <w:rsid w:val="FB4D67D2"/>
    <w:rsid w:val="FB73C9C8"/>
    <w:rsid w:val="FB773E49"/>
    <w:rsid w:val="FB7F6718"/>
    <w:rsid w:val="FB7F9405"/>
    <w:rsid w:val="FB7FD963"/>
    <w:rsid w:val="FB8F4D06"/>
    <w:rsid w:val="FBAF9011"/>
    <w:rsid w:val="FBB543F6"/>
    <w:rsid w:val="FBBC4841"/>
    <w:rsid w:val="FBBF06E5"/>
    <w:rsid w:val="FBCD56D1"/>
    <w:rsid w:val="FBDF606A"/>
    <w:rsid w:val="FBEF03F9"/>
    <w:rsid w:val="FBEF5C29"/>
    <w:rsid w:val="FBEFD131"/>
    <w:rsid w:val="FBF78074"/>
    <w:rsid w:val="FBFDA8A8"/>
    <w:rsid w:val="FBFDC037"/>
    <w:rsid w:val="FBFF879B"/>
    <w:rsid w:val="FC3727FA"/>
    <w:rsid w:val="FC99F3BA"/>
    <w:rsid w:val="FCDFE56B"/>
    <w:rsid w:val="FCED22BA"/>
    <w:rsid w:val="FCEE2C2A"/>
    <w:rsid w:val="FCF761DE"/>
    <w:rsid w:val="FCFB7240"/>
    <w:rsid w:val="FCFBE3A7"/>
    <w:rsid w:val="FCFE6033"/>
    <w:rsid w:val="FCFFA91E"/>
    <w:rsid w:val="FD2D5CB8"/>
    <w:rsid w:val="FD2E6E21"/>
    <w:rsid w:val="FD47EC18"/>
    <w:rsid w:val="FD6FE3AB"/>
    <w:rsid w:val="FD772F65"/>
    <w:rsid w:val="FD775A17"/>
    <w:rsid w:val="FD7F3E20"/>
    <w:rsid w:val="FD8E77BA"/>
    <w:rsid w:val="FD8F596B"/>
    <w:rsid w:val="FD9E8BCD"/>
    <w:rsid w:val="FDB162FF"/>
    <w:rsid w:val="FDB735C4"/>
    <w:rsid w:val="FDBD4A83"/>
    <w:rsid w:val="FDBF082F"/>
    <w:rsid w:val="FDBF7473"/>
    <w:rsid w:val="FDBF98DB"/>
    <w:rsid w:val="FDC39834"/>
    <w:rsid w:val="FDC97E85"/>
    <w:rsid w:val="FDDD5B85"/>
    <w:rsid w:val="FDDEA9A2"/>
    <w:rsid w:val="FDE7A6D8"/>
    <w:rsid w:val="FDEAF7D0"/>
    <w:rsid w:val="FDEC0AA6"/>
    <w:rsid w:val="FDEE5F95"/>
    <w:rsid w:val="FDF32EE8"/>
    <w:rsid w:val="FDF3881F"/>
    <w:rsid w:val="FDF78F32"/>
    <w:rsid w:val="FDF7E485"/>
    <w:rsid w:val="FDFB2920"/>
    <w:rsid w:val="FDFBA311"/>
    <w:rsid w:val="FDFE75FF"/>
    <w:rsid w:val="FDFF269F"/>
    <w:rsid w:val="FDFF6855"/>
    <w:rsid w:val="FDFFC8DF"/>
    <w:rsid w:val="FDFFCBCB"/>
    <w:rsid w:val="FDFFE3EE"/>
    <w:rsid w:val="FE5DBA1C"/>
    <w:rsid w:val="FE5F6F56"/>
    <w:rsid w:val="FE6BA003"/>
    <w:rsid w:val="FE764127"/>
    <w:rsid w:val="FE79E977"/>
    <w:rsid w:val="FE7A9A25"/>
    <w:rsid w:val="FE7EFC56"/>
    <w:rsid w:val="FE9F2D3D"/>
    <w:rsid w:val="FEAF62B1"/>
    <w:rsid w:val="FEBE2390"/>
    <w:rsid w:val="FED72E03"/>
    <w:rsid w:val="FEDDF0B6"/>
    <w:rsid w:val="FEDF0DD9"/>
    <w:rsid w:val="FEDF8601"/>
    <w:rsid w:val="FEED5B95"/>
    <w:rsid w:val="FEEF364B"/>
    <w:rsid w:val="FEEF7311"/>
    <w:rsid w:val="FEF19BF7"/>
    <w:rsid w:val="FEF39BD1"/>
    <w:rsid w:val="FEF57553"/>
    <w:rsid w:val="FEF626C7"/>
    <w:rsid w:val="FEF78A2F"/>
    <w:rsid w:val="FEFA8527"/>
    <w:rsid w:val="FEFB8A49"/>
    <w:rsid w:val="FEFBDA04"/>
    <w:rsid w:val="FEFD3DCA"/>
    <w:rsid w:val="FEFE1FFE"/>
    <w:rsid w:val="FEFE6C0A"/>
    <w:rsid w:val="FEFEB8E6"/>
    <w:rsid w:val="FEFF298D"/>
    <w:rsid w:val="FEFF2EF2"/>
    <w:rsid w:val="FEFF5C30"/>
    <w:rsid w:val="FEFFC026"/>
    <w:rsid w:val="FEFFE335"/>
    <w:rsid w:val="FEFFEAE8"/>
    <w:rsid w:val="FF05DA49"/>
    <w:rsid w:val="FF0BE224"/>
    <w:rsid w:val="FF251638"/>
    <w:rsid w:val="FF2D2398"/>
    <w:rsid w:val="FF33160F"/>
    <w:rsid w:val="FF3796E4"/>
    <w:rsid w:val="FF38646E"/>
    <w:rsid w:val="FF3CB7CB"/>
    <w:rsid w:val="FF3FC574"/>
    <w:rsid w:val="FF3FE7BB"/>
    <w:rsid w:val="FF4DDDA8"/>
    <w:rsid w:val="FF4F4214"/>
    <w:rsid w:val="FF579B12"/>
    <w:rsid w:val="FF59D4E0"/>
    <w:rsid w:val="FF5BCA23"/>
    <w:rsid w:val="FF5CA9B3"/>
    <w:rsid w:val="FF5FB312"/>
    <w:rsid w:val="FF6DFD72"/>
    <w:rsid w:val="FF7116BC"/>
    <w:rsid w:val="FF77467D"/>
    <w:rsid w:val="FF777840"/>
    <w:rsid w:val="FF77E257"/>
    <w:rsid w:val="FF7B0728"/>
    <w:rsid w:val="FF7B7860"/>
    <w:rsid w:val="FF7CD442"/>
    <w:rsid w:val="FF7E3FBF"/>
    <w:rsid w:val="FF7F0881"/>
    <w:rsid w:val="FF7F4D11"/>
    <w:rsid w:val="FF7F5392"/>
    <w:rsid w:val="FF7FB272"/>
    <w:rsid w:val="FF7FD341"/>
    <w:rsid w:val="FF8D9B14"/>
    <w:rsid w:val="FF8DE6E5"/>
    <w:rsid w:val="FF9E48DB"/>
    <w:rsid w:val="FF9FF563"/>
    <w:rsid w:val="FFA7202C"/>
    <w:rsid w:val="FFA72EDD"/>
    <w:rsid w:val="FFA73A02"/>
    <w:rsid w:val="FFB72C9E"/>
    <w:rsid w:val="FFB797E4"/>
    <w:rsid w:val="FFBC3DAB"/>
    <w:rsid w:val="FFBF8E0E"/>
    <w:rsid w:val="FFBF918B"/>
    <w:rsid w:val="FFCC06A5"/>
    <w:rsid w:val="FFCD60EA"/>
    <w:rsid w:val="FFD1BFB4"/>
    <w:rsid w:val="FFDA046F"/>
    <w:rsid w:val="FFDB19BC"/>
    <w:rsid w:val="FFDD5068"/>
    <w:rsid w:val="FFDD8C9E"/>
    <w:rsid w:val="FFDE4336"/>
    <w:rsid w:val="FFDF11E3"/>
    <w:rsid w:val="FFDF6F1C"/>
    <w:rsid w:val="FFDF8A83"/>
    <w:rsid w:val="FFDFC0EA"/>
    <w:rsid w:val="FFDFF6BC"/>
    <w:rsid w:val="FFDFFEAF"/>
    <w:rsid w:val="FFE3A14D"/>
    <w:rsid w:val="FFEA689E"/>
    <w:rsid w:val="FFEB3116"/>
    <w:rsid w:val="FFEBC05B"/>
    <w:rsid w:val="FFEC70C4"/>
    <w:rsid w:val="FFED9E6D"/>
    <w:rsid w:val="FFEE1330"/>
    <w:rsid w:val="FFEE6A57"/>
    <w:rsid w:val="FFEE9AAE"/>
    <w:rsid w:val="FFEEEA22"/>
    <w:rsid w:val="FFEEF260"/>
    <w:rsid w:val="FFEF458F"/>
    <w:rsid w:val="FFEF6DB4"/>
    <w:rsid w:val="FFEF8453"/>
    <w:rsid w:val="FFEFB559"/>
    <w:rsid w:val="FFEFBC4B"/>
    <w:rsid w:val="FFEFFF05"/>
    <w:rsid w:val="FFF4FE95"/>
    <w:rsid w:val="FFF50E65"/>
    <w:rsid w:val="FFF5BD1B"/>
    <w:rsid w:val="FFF6F17D"/>
    <w:rsid w:val="FFF73085"/>
    <w:rsid w:val="FFF746A0"/>
    <w:rsid w:val="FFF75860"/>
    <w:rsid w:val="FFF87A5F"/>
    <w:rsid w:val="FFF9A161"/>
    <w:rsid w:val="FFFA4229"/>
    <w:rsid w:val="FFFA9FE2"/>
    <w:rsid w:val="FFFBCA91"/>
    <w:rsid w:val="FFFBEB26"/>
    <w:rsid w:val="FFFBF741"/>
    <w:rsid w:val="FFFBF9A8"/>
    <w:rsid w:val="FFFC22B5"/>
    <w:rsid w:val="FFFCB529"/>
    <w:rsid w:val="FFFD43FB"/>
    <w:rsid w:val="FFFD4F6B"/>
    <w:rsid w:val="FFFDD052"/>
    <w:rsid w:val="FFFDF7B0"/>
    <w:rsid w:val="FFFE048B"/>
    <w:rsid w:val="FFFE6C42"/>
    <w:rsid w:val="FFFF1CBE"/>
    <w:rsid w:val="FFFF491E"/>
    <w:rsid w:val="FFFF827C"/>
    <w:rsid w:val="FFFF941A"/>
    <w:rsid w:val="FFFFB067"/>
    <w:rsid w:val="FFFFBB2C"/>
    <w:rsid w:val="FFFFBC3A"/>
    <w:rsid w:val="FFFFC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unhideWhenUsed/>
    <w:qFormat/>
    <w:uiPriority w:val="1"/>
    <w:pPr>
      <w:ind w:left="1777"/>
      <w:outlineLvl w:val="1"/>
    </w:pPr>
    <w:rPr>
      <w:rFonts w:hint="eastAsia"/>
      <w:sz w:val="28"/>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99"/>
    <w:pPr>
      <w:spacing w:after="120" w:line="480" w:lineRule="auto"/>
    </w:pPr>
    <w:rPr>
      <w:rFonts w:eastAsia="宋体"/>
      <w:sz w:val="21"/>
    </w:rPr>
  </w:style>
  <w:style w:type="paragraph" w:styleId="7">
    <w:name w:val="Normal (Web)"/>
    <w:basedOn w:val="1"/>
    <w:qFormat/>
    <w:uiPriority w:val="99"/>
    <w:pPr>
      <w:spacing w:before="100" w:beforeAutospacing="1" w:after="100" w:afterAutospacing="1"/>
      <w:jc w:val="left"/>
    </w:pPr>
    <w:rPr>
      <w:rFonts w:ascii="等线" w:hAnsi="等线" w:eastAsia="方正仿宋简体" w:cs="黑体"/>
      <w:kern w:val="0"/>
      <w:sz w:val="24"/>
      <w:szCs w:val="24"/>
    </w:rPr>
  </w:style>
  <w:style w:type="character" w:customStyle="1" w:styleId="10">
    <w:name w:val="NormalCharacter"/>
    <w:semiHidden/>
    <w:qFormat/>
    <w:uiPriority w:val="0"/>
    <w:rPr>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2022-07-01T09:33:00Z</dcterms:created>
  <dc:creator>lenovo</dc:creator>
  <cp:lastModifiedBy>greatwall</cp:lastModifiedBy>
  <cp:lastPrinted>2024-02-28T07:13:00Z</cp:lastPrinted>
  <dcterms:modified xsi:type="dcterms:W3CDTF">2024-03-14T16:22:51Z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825039F744544E3E8D4957CBE2050586</vt:lpwstr>
  </property>
</Properties>
</file>