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附件1</w:t>
      </w:r>
    </w:p>
    <w:p>
      <w:pPr>
        <w:jc w:val="center"/>
        <w:rPr>
          <w:rFonts w:ascii="方正小标宋简体" w:eastAsia="方正小标宋简体"/>
          <w:sz w:val="44"/>
          <w:szCs w:val="44"/>
        </w:rPr>
      </w:pPr>
      <w:r>
        <w:rPr>
          <w:rFonts w:hint="eastAsia" w:ascii="方正小标宋简体" w:eastAsia="方正小标宋简体"/>
          <w:sz w:val="44"/>
          <w:szCs w:val="44"/>
        </w:rPr>
        <w:t>长春市养老机构预收费存管协议</w:t>
      </w:r>
    </w:p>
    <w:p>
      <w:pPr>
        <w:jc w:val="center"/>
        <w:rPr>
          <w:rFonts w:ascii="楷体_GB2312" w:eastAsia="楷体_GB2312"/>
          <w:sz w:val="32"/>
          <w:szCs w:val="32"/>
        </w:rPr>
      </w:pPr>
      <w:r>
        <w:rPr>
          <w:rFonts w:hint="eastAsia" w:ascii="楷体_GB2312" w:eastAsia="楷体_GB2312"/>
          <w:sz w:val="32"/>
          <w:szCs w:val="32"/>
        </w:rPr>
        <w:t>（参考样式）</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甲方：（养老机构）</w:t>
      </w:r>
    </w:p>
    <w:p>
      <w:pPr>
        <w:rPr>
          <w:rFonts w:ascii="仿宋_GB2312" w:eastAsia="仿宋_GB2312"/>
          <w:sz w:val="32"/>
          <w:szCs w:val="32"/>
        </w:rPr>
      </w:pPr>
      <w:r>
        <w:rPr>
          <w:rFonts w:hint="eastAsia" w:ascii="仿宋_GB2312" w:eastAsia="仿宋_GB2312"/>
          <w:sz w:val="32"/>
          <w:szCs w:val="32"/>
        </w:rPr>
        <w:t>地址：</w:t>
      </w:r>
    </w:p>
    <w:p>
      <w:pPr>
        <w:rPr>
          <w:rFonts w:ascii="仿宋_GB2312" w:eastAsia="仿宋_GB2312"/>
          <w:sz w:val="32"/>
          <w:szCs w:val="32"/>
        </w:rPr>
      </w:pPr>
      <w:r>
        <w:rPr>
          <w:rFonts w:hint="eastAsia" w:ascii="仿宋_GB2312" w:eastAsia="仿宋_GB2312"/>
          <w:sz w:val="32"/>
          <w:szCs w:val="32"/>
        </w:rPr>
        <w:t>负责人：</w:t>
      </w:r>
    </w:p>
    <w:p>
      <w:pPr>
        <w:rPr>
          <w:rFonts w:ascii="仿宋_GB2312" w:eastAsia="仿宋_GB2312"/>
          <w:sz w:val="32"/>
          <w:szCs w:val="32"/>
        </w:rPr>
      </w:pPr>
      <w:r>
        <w:rPr>
          <w:rFonts w:hint="eastAsia" w:ascii="仿宋_GB2312" w:eastAsia="仿宋_GB2312"/>
          <w:sz w:val="32"/>
          <w:szCs w:val="32"/>
        </w:rPr>
        <w:t>授权代理人（联系人）：</w:t>
      </w:r>
    </w:p>
    <w:p>
      <w:pPr>
        <w:rPr>
          <w:rFonts w:ascii="仿宋_GB2312" w:eastAsia="仿宋_GB2312"/>
          <w:sz w:val="32"/>
          <w:szCs w:val="32"/>
        </w:rPr>
      </w:pPr>
      <w:r>
        <w:rPr>
          <w:rFonts w:hint="eastAsia" w:ascii="仿宋_GB2312" w:eastAsia="仿宋_GB2312"/>
          <w:sz w:val="32"/>
          <w:szCs w:val="32"/>
        </w:rPr>
        <w:t>电话：</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乙方：（存管银行）</w:t>
      </w:r>
    </w:p>
    <w:p>
      <w:pPr>
        <w:rPr>
          <w:rFonts w:ascii="仿宋_GB2312" w:eastAsia="仿宋_GB2312"/>
          <w:sz w:val="32"/>
          <w:szCs w:val="32"/>
        </w:rPr>
      </w:pPr>
      <w:r>
        <w:rPr>
          <w:rFonts w:hint="eastAsia" w:ascii="仿宋_GB2312" w:eastAsia="仿宋_GB2312"/>
          <w:sz w:val="32"/>
          <w:szCs w:val="32"/>
        </w:rPr>
        <w:t>地址：</w:t>
      </w:r>
    </w:p>
    <w:p>
      <w:pPr>
        <w:rPr>
          <w:rFonts w:ascii="仿宋_GB2312" w:eastAsia="仿宋_GB2312"/>
          <w:sz w:val="32"/>
          <w:szCs w:val="32"/>
        </w:rPr>
      </w:pPr>
      <w:r>
        <w:rPr>
          <w:rFonts w:hint="eastAsia" w:ascii="仿宋_GB2312" w:eastAsia="仿宋_GB2312"/>
          <w:sz w:val="32"/>
          <w:szCs w:val="32"/>
        </w:rPr>
        <w:t>负责人：</w:t>
      </w:r>
    </w:p>
    <w:p>
      <w:pPr>
        <w:rPr>
          <w:rFonts w:ascii="仿宋_GB2312" w:eastAsia="仿宋_GB2312"/>
          <w:sz w:val="32"/>
          <w:szCs w:val="32"/>
        </w:rPr>
      </w:pPr>
      <w:r>
        <w:rPr>
          <w:rFonts w:hint="eastAsia" w:ascii="仿宋_GB2312" w:eastAsia="仿宋_GB2312"/>
          <w:sz w:val="32"/>
          <w:szCs w:val="32"/>
        </w:rPr>
        <w:t>授权代理人（联系人）：</w:t>
      </w:r>
    </w:p>
    <w:p>
      <w:pPr>
        <w:rPr>
          <w:rFonts w:ascii="仿宋_GB2312" w:eastAsia="仿宋_GB2312"/>
          <w:sz w:val="32"/>
          <w:szCs w:val="32"/>
        </w:rPr>
      </w:pPr>
      <w:r>
        <w:rPr>
          <w:rFonts w:hint="eastAsia" w:ascii="仿宋_GB2312" w:eastAsia="仿宋_GB2312"/>
          <w:sz w:val="32"/>
          <w:szCs w:val="32"/>
        </w:rPr>
        <w:t>电话：</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丙方：（民政部门）</w:t>
      </w:r>
    </w:p>
    <w:p>
      <w:pPr>
        <w:rPr>
          <w:rFonts w:ascii="仿宋_GB2312" w:eastAsia="仿宋_GB2312"/>
          <w:sz w:val="32"/>
          <w:szCs w:val="32"/>
        </w:rPr>
      </w:pPr>
      <w:r>
        <w:rPr>
          <w:rFonts w:hint="eastAsia" w:ascii="仿宋_GB2312" w:eastAsia="仿宋_GB2312"/>
          <w:sz w:val="32"/>
          <w:szCs w:val="32"/>
        </w:rPr>
        <w:t>地址：</w:t>
      </w:r>
    </w:p>
    <w:p>
      <w:pPr>
        <w:rPr>
          <w:rFonts w:ascii="仿宋_GB2312" w:eastAsia="仿宋_GB2312"/>
          <w:sz w:val="32"/>
          <w:szCs w:val="32"/>
        </w:rPr>
      </w:pPr>
      <w:r>
        <w:rPr>
          <w:rFonts w:hint="eastAsia" w:ascii="仿宋_GB2312" w:eastAsia="仿宋_GB2312"/>
          <w:sz w:val="32"/>
          <w:szCs w:val="32"/>
        </w:rPr>
        <w:t>负责人：</w:t>
      </w:r>
    </w:p>
    <w:p>
      <w:pPr>
        <w:rPr>
          <w:rFonts w:ascii="仿宋_GB2312" w:eastAsia="仿宋_GB2312"/>
          <w:sz w:val="32"/>
          <w:szCs w:val="32"/>
        </w:rPr>
      </w:pPr>
      <w:r>
        <w:rPr>
          <w:rFonts w:hint="eastAsia" w:ascii="仿宋_GB2312" w:eastAsia="仿宋_GB2312"/>
          <w:sz w:val="32"/>
          <w:szCs w:val="32"/>
        </w:rPr>
        <w:t>授权代理人（联系人）：</w:t>
      </w:r>
    </w:p>
    <w:p>
      <w:pPr>
        <w:rPr>
          <w:rFonts w:ascii="仿宋_GB2312" w:eastAsia="仿宋_GB2312"/>
          <w:sz w:val="32"/>
          <w:szCs w:val="32"/>
        </w:rPr>
      </w:pPr>
      <w:r>
        <w:rPr>
          <w:rFonts w:hint="eastAsia" w:ascii="仿宋_GB2312" w:eastAsia="仿宋_GB2312"/>
          <w:sz w:val="32"/>
          <w:szCs w:val="32"/>
        </w:rPr>
        <w:t>电话：</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为规范养老机构押金、会员费的收取、管理、使用、退费等环节，促进养老服务产业健康规范发展，维护老年人合法权益，甲、乙、丙三方在自愿、平等和协商一致的基础上，就乙方为甲方提供养老机构预收费存管服务相关事宜，达成以下协议：</w:t>
      </w:r>
    </w:p>
    <w:p>
      <w:pPr>
        <w:ind w:firstLine="640" w:firstLineChars="200"/>
        <w:rPr>
          <w:rFonts w:ascii="黑体" w:hAnsi="黑体" w:eastAsia="黑体"/>
          <w:sz w:val="32"/>
          <w:szCs w:val="32"/>
        </w:rPr>
      </w:pPr>
      <w:r>
        <w:rPr>
          <w:rFonts w:hint="eastAsia" w:ascii="黑体" w:hAnsi="黑体" w:eastAsia="黑体"/>
          <w:sz w:val="32"/>
          <w:szCs w:val="32"/>
        </w:rPr>
        <w:t>第一条 相关概念</w:t>
      </w:r>
    </w:p>
    <w:p>
      <w:pPr>
        <w:ind w:firstLine="640" w:firstLineChars="200"/>
        <w:rPr>
          <w:rFonts w:ascii="仿宋_GB2312" w:eastAsia="仿宋_GB2312"/>
          <w:sz w:val="32"/>
          <w:szCs w:val="32"/>
        </w:rPr>
      </w:pPr>
      <w:r>
        <w:rPr>
          <w:rFonts w:hint="eastAsia" w:ascii="仿宋_GB2312" w:eastAsia="仿宋_GB2312"/>
          <w:sz w:val="32"/>
          <w:szCs w:val="32"/>
        </w:rPr>
        <w:t>本协议所指养老机构是在民政部门依法备案的养老机构。</w:t>
      </w:r>
    </w:p>
    <w:p>
      <w:pPr>
        <w:ind w:firstLine="640" w:firstLineChars="200"/>
        <w:rPr>
          <w:rFonts w:ascii="仿宋_GB2312" w:eastAsia="仿宋_GB2312"/>
          <w:sz w:val="32"/>
          <w:szCs w:val="32"/>
        </w:rPr>
      </w:pPr>
      <w:r>
        <w:rPr>
          <w:rFonts w:hint="eastAsia" w:ascii="仿宋_GB2312" w:eastAsia="仿宋_GB2312"/>
          <w:sz w:val="32"/>
          <w:szCs w:val="32"/>
        </w:rPr>
        <w:t>除本协议上下文另有所指或特别注明外，本协议中下列词语具有如下含义：</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存管资金：甲方向服务对象预先收取的，应当纳入银行存管的预收费，包括押金和会员费。押金是指为老年人就医等应急需要、偿还拖欠费用、赔偿财物损失等作担保的费用；会员费是指养老机构以“会员卡”、“贵宾卡”等形式收取的，用于老年人获得</w:t>
      </w:r>
      <w:r>
        <w:rPr>
          <w:rFonts w:hint="eastAsia" w:ascii="仿宋_GB2312" w:eastAsia="仿宋_GB2312"/>
          <w:color w:val="0000FF"/>
          <w:sz w:val="32"/>
          <w:szCs w:val="32"/>
          <w:lang w:eastAsia="zh-CN"/>
        </w:rPr>
        <w:t>服务资格</w:t>
      </w:r>
      <w:r>
        <w:rPr>
          <w:rFonts w:hint="eastAsia" w:ascii="仿宋_GB2312" w:eastAsia="仿宋_GB2312"/>
          <w:color w:val="0000FF"/>
          <w:sz w:val="32"/>
          <w:szCs w:val="32"/>
        </w:rPr>
        <w:t>、</w:t>
      </w:r>
      <w:r>
        <w:rPr>
          <w:rFonts w:hint="eastAsia" w:ascii="仿宋_GB2312" w:eastAsia="仿宋_GB2312"/>
          <w:sz w:val="32"/>
          <w:szCs w:val="32"/>
        </w:rPr>
        <w:t>使用设施设备、享受服务优惠等的费用。</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专用存款账户：甲方根据《人民币银行结算账户管理办法》《吉林省养老机构预收费监管办法（试行）》</w:t>
      </w:r>
      <w:r>
        <w:rPr>
          <w:rFonts w:hint="eastAsia" w:ascii="仿宋_GB2312" w:eastAsia="仿宋_GB2312"/>
          <w:color w:val="0000FF"/>
          <w:sz w:val="32"/>
          <w:szCs w:val="32"/>
          <w:lang w:eastAsia="zh-CN"/>
        </w:rPr>
        <w:t>《</w:t>
      </w:r>
      <w:r>
        <w:rPr>
          <w:rFonts w:hint="eastAsia" w:ascii="仿宋_GB2312" w:eastAsia="仿宋_GB2312"/>
          <w:color w:val="0000FF"/>
          <w:sz w:val="32"/>
          <w:szCs w:val="32"/>
        </w:rPr>
        <w:t>长春市养老机构预收费资金管理规则（试行）</w:t>
      </w:r>
      <w:r>
        <w:rPr>
          <w:rFonts w:hint="eastAsia" w:ascii="仿宋_GB2312" w:eastAsia="仿宋_GB2312"/>
          <w:color w:val="0000FF"/>
          <w:sz w:val="32"/>
          <w:szCs w:val="32"/>
          <w:lang w:eastAsia="zh-CN"/>
        </w:rPr>
        <w:t>》</w:t>
      </w:r>
      <w:r>
        <w:rPr>
          <w:rFonts w:hint="eastAsia" w:ascii="仿宋_GB2312" w:eastAsia="仿宋_GB2312"/>
          <w:sz w:val="32"/>
          <w:szCs w:val="32"/>
        </w:rPr>
        <w:t>等规定在乙方开立的，专门用于存放向服务对象预收的押金和会员费的存款账户。该账户将按照国家关于银行结算账户的管理规定运作，确保资金的安全与合规使用。</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养老机构预收费账户管理系统：根据</w:t>
      </w:r>
      <w:r>
        <w:rPr>
          <w:rFonts w:hint="eastAsia" w:ascii="仿宋_GB2312" w:eastAsia="仿宋_GB2312"/>
          <w:color w:val="0000FF"/>
          <w:sz w:val="32"/>
          <w:szCs w:val="32"/>
          <w:lang w:eastAsia="zh-CN"/>
        </w:rPr>
        <w:t>《</w:t>
      </w:r>
      <w:r>
        <w:rPr>
          <w:rFonts w:hint="eastAsia" w:ascii="仿宋_GB2312" w:eastAsia="仿宋_GB2312"/>
          <w:color w:val="0000FF"/>
          <w:sz w:val="32"/>
          <w:szCs w:val="32"/>
        </w:rPr>
        <w:t>长春市养老机构预收费资金管理规则（试行）</w:t>
      </w:r>
      <w:r>
        <w:rPr>
          <w:rFonts w:hint="eastAsia" w:ascii="仿宋_GB2312" w:eastAsia="仿宋_GB2312"/>
          <w:color w:val="0000FF"/>
          <w:sz w:val="32"/>
          <w:szCs w:val="32"/>
          <w:lang w:eastAsia="zh-CN"/>
        </w:rPr>
        <w:t>》</w:t>
      </w:r>
      <w:r>
        <w:rPr>
          <w:rFonts w:hint="eastAsia" w:ascii="仿宋_GB2312" w:eastAsia="仿宋_GB2312"/>
          <w:sz w:val="32"/>
          <w:szCs w:val="32"/>
        </w:rPr>
        <w:t>规定，由乙方建立的养老机构预收费账户管理系统，归集养老机构资金收取、使用等信息。</w:t>
      </w:r>
    </w:p>
    <w:p>
      <w:pPr>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风险保证金：甲方须在专用存款账户内存放一定比例的资金，以确保能够及时退还押金和会员费，以及应对可能出现的其他风险。</w:t>
      </w:r>
    </w:p>
    <w:p>
      <w:pPr>
        <w:ind w:firstLine="640" w:firstLineChars="200"/>
        <w:rPr>
          <w:rFonts w:ascii="黑体" w:hAnsi="黑体" w:eastAsia="黑体"/>
          <w:sz w:val="32"/>
          <w:szCs w:val="32"/>
        </w:rPr>
      </w:pPr>
      <w:r>
        <w:rPr>
          <w:rFonts w:hint="eastAsia" w:ascii="黑体" w:hAnsi="黑体" w:eastAsia="黑体"/>
          <w:sz w:val="32"/>
          <w:szCs w:val="32"/>
        </w:rPr>
        <w:t>第二条 专用存款账户开立及存管资金存入</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甲方应在乙方开设唯一的专用存款账户，账户信息如下：</w:t>
      </w:r>
    </w:p>
    <w:p>
      <w:pPr>
        <w:ind w:firstLine="640" w:firstLineChars="200"/>
        <w:rPr>
          <w:rFonts w:ascii="仿宋_GB2312" w:eastAsia="仿宋_GB2312"/>
          <w:sz w:val="32"/>
          <w:szCs w:val="32"/>
        </w:rPr>
      </w:pPr>
      <w:r>
        <w:rPr>
          <w:rFonts w:hint="eastAsia" w:ascii="仿宋_GB2312" w:eastAsia="仿宋_GB2312"/>
          <w:sz w:val="32"/>
          <w:szCs w:val="32"/>
        </w:rPr>
        <w:t>账户名称：</w:t>
      </w:r>
    </w:p>
    <w:p>
      <w:pPr>
        <w:ind w:firstLine="640" w:firstLineChars="200"/>
        <w:rPr>
          <w:rFonts w:ascii="仿宋_GB2312" w:eastAsia="仿宋_GB2312"/>
          <w:sz w:val="32"/>
          <w:szCs w:val="32"/>
        </w:rPr>
      </w:pPr>
      <w:r>
        <w:rPr>
          <w:rFonts w:hint="eastAsia" w:ascii="仿宋_GB2312" w:eastAsia="仿宋_GB2312"/>
          <w:sz w:val="32"/>
          <w:szCs w:val="32"/>
        </w:rPr>
        <w:t>账  号：</w:t>
      </w:r>
    </w:p>
    <w:p>
      <w:pPr>
        <w:ind w:firstLine="640" w:firstLineChars="200"/>
        <w:rPr>
          <w:rFonts w:ascii="仿宋_GB2312" w:eastAsia="仿宋_GB2312"/>
          <w:sz w:val="32"/>
          <w:szCs w:val="32"/>
        </w:rPr>
      </w:pPr>
      <w:r>
        <w:rPr>
          <w:rFonts w:hint="eastAsia" w:ascii="仿宋_GB2312" w:eastAsia="仿宋_GB2312"/>
          <w:sz w:val="32"/>
          <w:szCs w:val="32"/>
        </w:rPr>
        <w:t>开户银行：</w:t>
      </w:r>
    </w:p>
    <w:p>
      <w:pPr>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甲方应严格按照备案和公示的收费项目和收费标准收取押金和会员费，收取的押金和会员费全部存入专用存款账户，并实施分科目管理。</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老年人或者其代理人采用现金方式支付的，甲方应当于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个工作日内，全额存入专用存款账户。</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甲方专用存款账户应当留存一定金额的资金作为风险保证金，留存比例不得低于该账户近3年预收费总额10%（收取不满三年的，按累计收取押金、会员费总额计算），且不得低于该账户上年年末余额的20%。</w:t>
      </w:r>
    </w:p>
    <w:p>
      <w:pPr>
        <w:ind w:firstLine="640" w:firstLineChars="200"/>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日，甲方近三年预收费总额为</w:t>
      </w:r>
    </w:p>
    <w:p>
      <w:pPr>
        <w:rPr>
          <w:rFonts w:ascii="仿宋_GB2312" w:eastAsia="仿宋_GB2312"/>
          <w:sz w:val="32"/>
          <w:szCs w:val="32"/>
        </w:rPr>
      </w:pP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万元，应留存风险保证金数额应不低于</w:t>
      </w:r>
      <w:r>
        <w:rPr>
          <w:rFonts w:hint="eastAsia" w:ascii="仿宋_GB2312" w:eastAsia="仿宋_GB2312"/>
          <w:sz w:val="32"/>
          <w:szCs w:val="32"/>
          <w:u w:val="single"/>
        </w:rPr>
        <w:t xml:space="preserve">    </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风险保证金最低数额按年调整。每年4月15日前，甲方向丙方报送会计师事务所出具的本机构上年度财务审计报告，重新核算“近三年预收费总额”具体金额。丙方将重新核定的金额提供给乙方，乙方据此调整风险保证金最低数额。</w:t>
      </w:r>
    </w:p>
    <w:p>
      <w:pPr>
        <w:ind w:firstLine="640" w:firstLineChars="200"/>
        <w:rPr>
          <w:rFonts w:ascii="黑体" w:hAnsi="黑体" w:eastAsia="黑体"/>
          <w:sz w:val="32"/>
          <w:szCs w:val="32"/>
        </w:rPr>
      </w:pPr>
      <w:r>
        <w:rPr>
          <w:rFonts w:hint="eastAsia" w:ascii="黑体" w:hAnsi="黑体" w:eastAsia="黑体"/>
          <w:sz w:val="32"/>
          <w:szCs w:val="32"/>
        </w:rPr>
        <w:t>第三条 存管资金支用</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甲方支用存管资金应当符合</w:t>
      </w:r>
      <w:r>
        <w:rPr>
          <w:rFonts w:hint="eastAsia" w:ascii="仿宋_GB2312" w:eastAsia="仿宋_GB2312"/>
          <w:color w:val="0000FF"/>
          <w:sz w:val="32"/>
          <w:szCs w:val="32"/>
          <w:lang w:eastAsia="zh-CN"/>
        </w:rPr>
        <w:t>《</w:t>
      </w:r>
      <w:r>
        <w:rPr>
          <w:rFonts w:hint="eastAsia" w:ascii="仿宋_GB2312" w:eastAsia="仿宋_GB2312"/>
          <w:color w:val="0000FF"/>
          <w:sz w:val="32"/>
          <w:szCs w:val="32"/>
        </w:rPr>
        <w:t>长春市养老机构预收费资金管理规则（试行）</w:t>
      </w:r>
      <w:r>
        <w:rPr>
          <w:rFonts w:hint="eastAsia" w:ascii="仿宋_GB2312" w:eastAsia="仿宋_GB2312"/>
          <w:color w:val="0000FF"/>
          <w:sz w:val="32"/>
          <w:szCs w:val="32"/>
          <w:lang w:eastAsia="zh-CN"/>
        </w:rPr>
        <w:t>》，</w:t>
      </w:r>
      <w:r>
        <w:rPr>
          <w:rFonts w:hint="eastAsia" w:ascii="仿宋_GB2312" w:eastAsia="仿宋_GB2312"/>
          <w:color w:val="0000FF"/>
          <w:sz w:val="32"/>
          <w:szCs w:val="32"/>
        </w:rPr>
        <w:t>会员费支出不得用于支付养老服务费、不得与押金用途相混。</w:t>
      </w:r>
    </w:p>
    <w:p>
      <w:pPr>
        <w:ind w:firstLine="640" w:firstLineChars="200"/>
        <w:rPr>
          <w:rFonts w:ascii="仿宋_GB2312" w:eastAsia="仿宋_GB2312"/>
          <w:sz w:val="32"/>
          <w:szCs w:val="32"/>
          <w:u w:val="single"/>
        </w:rPr>
      </w:pPr>
      <w:r>
        <w:rPr>
          <w:rFonts w:hint="eastAsia" w:ascii="仿宋_GB2312" w:eastAsia="仿宋_GB2312"/>
          <w:sz w:val="32"/>
          <w:szCs w:val="32"/>
        </w:rPr>
        <w:t>会员费支出范围明确如下：</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专用存款账户资金出现以下情形之一的，可以判定为资金异常流动：</w:t>
      </w:r>
    </w:p>
    <w:p>
      <w:pPr>
        <w:ind w:firstLine="640" w:firstLineChars="200"/>
        <w:rPr>
          <w:rFonts w:ascii="仿宋_GB2312" w:eastAsia="仿宋_GB2312"/>
          <w:sz w:val="32"/>
          <w:szCs w:val="32"/>
        </w:rPr>
      </w:pPr>
      <w:r>
        <w:rPr>
          <w:rFonts w:hint="eastAsia" w:ascii="仿宋_GB2312" w:eastAsia="仿宋_GB2312"/>
          <w:sz w:val="32"/>
          <w:szCs w:val="32"/>
        </w:rPr>
        <w:t>（1）账户出现大额资金流出（单日金额超过5万元，一周累计金额超过30万元），正常押金、会员费使用范围内的资金支出不受上述额度限制；（备案民政部门可以结合实际调整支出限额）</w:t>
      </w:r>
    </w:p>
    <w:p>
      <w:pPr>
        <w:ind w:firstLine="640" w:firstLineChars="200"/>
        <w:rPr>
          <w:rFonts w:ascii="仿宋_GB2312" w:eastAsia="仿宋_GB2312"/>
          <w:sz w:val="32"/>
          <w:szCs w:val="32"/>
        </w:rPr>
      </w:pPr>
      <w:r>
        <w:rPr>
          <w:rFonts w:hint="eastAsia" w:ascii="仿宋_GB2312" w:eastAsia="仿宋_GB2312"/>
          <w:sz w:val="32"/>
          <w:szCs w:val="32"/>
        </w:rPr>
        <w:t>（2）余额达到风险保证金最低比例以下；</w:t>
      </w:r>
    </w:p>
    <w:p>
      <w:pPr>
        <w:ind w:firstLine="640" w:firstLineChars="200"/>
        <w:rPr>
          <w:rFonts w:ascii="仿宋_GB2312" w:eastAsia="仿宋_GB2312"/>
          <w:sz w:val="32"/>
          <w:szCs w:val="32"/>
          <w:u w:val="single"/>
        </w:rPr>
      </w:pPr>
      <w:r>
        <w:rPr>
          <w:rFonts w:hint="eastAsia" w:ascii="仿宋_GB2312" w:eastAsia="仿宋_GB2312"/>
          <w:sz w:val="32"/>
          <w:szCs w:val="32"/>
        </w:rPr>
        <w:t>（3）丙方认定的其他资金异常流动情形：</w:t>
      </w:r>
      <w:r>
        <w:rPr>
          <w:rFonts w:hint="eastAsia" w:ascii="仿宋_GB2312" w:eastAsia="仿宋_GB2312"/>
          <w:sz w:val="32"/>
          <w:szCs w:val="32"/>
          <w:u w:val="single"/>
        </w:rPr>
        <w:t xml:space="preserve">         </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无资金异常流动情况下，甲方支取存管资金应通过养老机构预收费账户管理系统发起用款申请，填写资金用途说明，上传有效凭证。</w:t>
      </w:r>
    </w:p>
    <w:p>
      <w:pPr>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专用存款账户余额接近风险保证金最低比例时，乙方应提前提醒甲方。</w:t>
      </w:r>
    </w:p>
    <w:p>
      <w:pPr>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专用存款账户出现资金异常流动情形的，除办理退费外，乙方不得为甲方办理支出，同时向甲方进行预警，并向丙方作出风险提示。甲方应提供相关材料至丙方进行审核，丙方根据审核结果，向乙方出具资金支出的意见。</w:t>
      </w:r>
    </w:p>
    <w:p>
      <w:pPr>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出现资金异常流动情形期间，如需办理退费的，甲方通过养老机构预收费账户管理系统发起申请，上传有效凭证，经丙方审核通过，进行资金划拨。</w:t>
      </w:r>
    </w:p>
    <w:p>
      <w:pPr>
        <w:ind w:firstLine="640" w:firstLineChars="200"/>
        <w:rPr>
          <w:rFonts w:ascii="黑体" w:hAnsi="黑体" w:eastAsia="黑体"/>
          <w:sz w:val="32"/>
          <w:szCs w:val="32"/>
        </w:rPr>
      </w:pPr>
      <w:r>
        <w:rPr>
          <w:rFonts w:hint="eastAsia" w:ascii="黑体" w:hAnsi="黑体" w:eastAsia="黑体"/>
          <w:sz w:val="32"/>
          <w:szCs w:val="32"/>
        </w:rPr>
        <w:t>第四条 专用存款账户的撤销</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甲方因停业、歇业等原因暂停、终止服务，或变更存管银行，需撤销专用存款账户的，应向丙方提交书面申请和资金处置说明，依法承担经营主体责任。</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丙方同意撤销专用存款账户的，出具同意撤销专用存款账户的书面材料，乙方可解除账户监管。</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甲方向乙方提交办理撤销账户申请等有关材料，乙方办理资金退回手续时，原则上按原渠道一次性退还剩余费用，协议条款另有约定的除外。原付款渠道已无法办理退款的，乙方应当在</w:t>
      </w:r>
      <w:r>
        <w:rPr>
          <w:rFonts w:hint="eastAsia" w:ascii="仿宋_GB2312" w:eastAsia="仿宋_GB2312"/>
          <w:sz w:val="32"/>
          <w:szCs w:val="32"/>
          <w:u w:val="single"/>
        </w:rPr>
        <w:t xml:space="preserve">        </w:t>
      </w:r>
      <w:r>
        <w:rPr>
          <w:rFonts w:hint="eastAsia" w:ascii="仿宋_GB2312" w:eastAsia="仿宋_GB2312"/>
          <w:sz w:val="32"/>
          <w:szCs w:val="32"/>
        </w:rPr>
        <w:t>个工作日内通知甲方，由甲方负责提供老年人或其代理人的账户信息接收相应退款。如因甲方提供收款账户信息不及时或不准确原因，导致无法正常办理退款或造成其他损失，由甲方承担相应责任。</w:t>
      </w:r>
    </w:p>
    <w:p>
      <w:pPr>
        <w:ind w:firstLine="640" w:firstLineChars="200"/>
        <w:rPr>
          <w:rFonts w:ascii="黑体" w:hAnsi="黑体" w:eastAsia="黑体"/>
          <w:sz w:val="32"/>
          <w:szCs w:val="32"/>
        </w:rPr>
      </w:pPr>
      <w:r>
        <w:rPr>
          <w:rFonts w:hint="eastAsia" w:ascii="黑体" w:hAnsi="黑体" w:eastAsia="黑体"/>
          <w:sz w:val="32"/>
          <w:szCs w:val="32"/>
        </w:rPr>
        <w:t>第五条 各方权利义务</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（一）甲方的权利和义务</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甲方依法享有专用存款账户资金（含利息收益），任何单位和个人不得侵占和挪用。</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甲方应当将专用存款账户作为收取押金和会员费的唯一收款账户。专用存款账户不得用于质押、不得取现。</w:t>
      </w:r>
    </w:p>
    <w:p>
      <w:pPr>
        <w:ind w:firstLine="640" w:firstLineChars="200"/>
        <w:rPr>
          <w:rFonts w:ascii="仿宋_GB2312" w:eastAsia="仿宋_GB2312"/>
          <w:sz w:val="32"/>
          <w:szCs w:val="32"/>
          <w:u w:val="single"/>
        </w:rPr>
      </w:pPr>
      <w:r>
        <w:rPr>
          <w:rFonts w:hint="eastAsia" w:ascii="仿宋_GB2312" w:eastAsia="仿宋_GB2312"/>
          <w:sz w:val="32"/>
          <w:szCs w:val="32"/>
        </w:rPr>
        <w:t>三方商定的专用存款账户其他限制（比如，不得开设电话银行、网上银行的支付功能，不得开设税、费等资金代扣、代付功能，不得购买理财等）：</w:t>
      </w:r>
      <w:r>
        <w:rPr>
          <w:rFonts w:ascii="仿宋_GB2312" w:eastAsia="仿宋_GB2312"/>
          <w:sz w:val="32"/>
          <w:szCs w:val="32"/>
          <w:u w:val="single"/>
        </w:rPr>
        <w:t xml:space="preserve">                </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甲方对向乙方、丙方提供的所有证照及其他资料均合法、真实、准确、完整和有效。前述资料发生变化时，及时书面通知乙方、丙方。</w:t>
      </w:r>
    </w:p>
    <w:p>
      <w:pPr>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甲方保证所从事业务的合法性、合规性，保证预收费资金的划转有真实的交易背景或合法原因，符合相关法律法规的规定。</w:t>
      </w:r>
    </w:p>
    <w:p>
      <w:pPr>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甲方不得利用存管银行做营销宣传。</w:t>
      </w:r>
    </w:p>
    <w:p>
      <w:pPr>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甲方同意并授权乙方按丙方要求获取专用账户及本存管协议有关的全部信息（包括专用账户余额、交易流水等），并通过养老机构账户管理系统，将归集资金收取、使用等信息与民政部门信息系统对接。</w:t>
      </w:r>
    </w:p>
    <w:p>
      <w:pPr>
        <w:ind w:firstLine="800" w:firstLineChars="250"/>
        <w:rPr>
          <w:rFonts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甲方违反本协议约定，或存在其他账户和经营风险时，应当接受乙方对专用存款账户的管控。</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（二）乙方的权利和义务</w:t>
      </w:r>
    </w:p>
    <w:p>
      <w:pPr>
        <w:ind w:firstLine="800" w:firstLineChars="25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乙方按照国家法律法规及三方存管协议要求，认真履行资金存管义务，不得以任何形式向甲方及其从业人员支付佣金或权益以及变相支付佣金或权益。</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乙方应定期</w:t>
      </w:r>
      <w:r>
        <w:rPr>
          <w:rFonts w:hint="eastAsia" w:ascii="仿宋_GB2312" w:eastAsia="仿宋_GB2312"/>
          <w:color w:val="FF0000"/>
          <w:sz w:val="32"/>
          <w:szCs w:val="32"/>
          <w:u w:val="single"/>
        </w:rPr>
        <w:t>（频次、时间三方商定）</w:t>
      </w:r>
      <w:r>
        <w:rPr>
          <w:rFonts w:hint="eastAsia" w:ascii="仿宋_GB2312" w:eastAsia="仿宋_GB2312"/>
          <w:sz w:val="32"/>
          <w:szCs w:val="32"/>
        </w:rPr>
        <w:t>主动向甲方提供专用存款账户资金对账单。</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乙方应建立养老机构账户管理系统，归集甲方资金收取、使用等信息。在取得甲方同意并授权的前提下，根据民政部门的要求，及时升级优化信息管理、高效对接民政部门信息系统。</w:t>
      </w:r>
    </w:p>
    <w:p>
      <w:pPr>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乙方对专用存款账户内的资金流动等情况进行监管。在专用存款账户内资金异常流动时，乙方应及时向甲方及丙方进行预警。</w:t>
      </w:r>
    </w:p>
    <w:p>
      <w:pPr>
        <w:ind w:firstLine="640" w:firstLineChars="200"/>
        <w:rPr>
          <w:rFonts w:ascii="仿宋_GB2312" w:eastAsia="仿宋_GB2312"/>
          <w:sz w:val="32"/>
          <w:szCs w:val="32"/>
        </w:rPr>
      </w:pPr>
      <w:r>
        <w:rPr>
          <w:rFonts w:hint="eastAsia" w:ascii="仿宋_GB2312" w:eastAsia="仿宋_GB2312"/>
          <w:sz w:val="32"/>
          <w:szCs w:val="32"/>
        </w:rPr>
        <w:t>5.乙方发现甲方涉嫌非法集资的，应将相关线索及时报送所在地防范处置非法集资牵头部门，并根据法律规定、本协议约定及有关部门通报要求，对专用存款账户采取相应限制措施。</w:t>
      </w:r>
    </w:p>
    <w:p>
      <w:pPr>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当甲方违反本协议约定，或存在其他账户和经营风险时，乙方应当根据丙方要求对专用存款账户进行管控。</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（三）丙方的权利和义务</w:t>
      </w:r>
    </w:p>
    <w:p>
      <w:pPr>
        <w:ind w:firstLine="800" w:firstLineChars="25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丙方有权向乙方了解专用存款账户内的存管资金的收支情况。</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丙方依托信息系统加强对养老机构预收费的事中事后监管，发现甲方涉嫌非法集资的，将相关线索及时报送所在地防范处置非法集资牵头部门。</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当甲方违反本协议约定，或存在其他账户和经营风险时，丙方有权根据有关规定要求乙方管控专用存款账户。</w:t>
      </w:r>
    </w:p>
    <w:p>
      <w:pPr>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甲方存在不规范预收费行为的，未按规定采取银行监管和风险保证金等风险防范措施的，丙方及市场监管等部门对甲方法定代表人（主要负责人）应进行警示约谈，督促其整改到位、依法合规经营。</w:t>
      </w:r>
    </w:p>
    <w:p>
      <w:pPr>
        <w:ind w:firstLine="640" w:firstLineChars="200"/>
        <w:rPr>
          <w:rFonts w:ascii="黑体" w:hAnsi="黑体" w:eastAsia="黑体"/>
          <w:sz w:val="32"/>
          <w:szCs w:val="32"/>
        </w:rPr>
      </w:pPr>
      <w:r>
        <w:rPr>
          <w:rFonts w:hint="eastAsia" w:ascii="黑体" w:hAnsi="黑体" w:eastAsia="黑体"/>
          <w:sz w:val="32"/>
          <w:szCs w:val="32"/>
        </w:rPr>
        <w:t>第六条 服务费用</w:t>
      </w:r>
    </w:p>
    <w:p>
      <w:pPr>
        <w:ind w:firstLine="640" w:firstLineChars="200"/>
        <w:rPr>
          <w:rFonts w:ascii="仿宋_GB2312" w:eastAsia="仿宋_GB2312"/>
          <w:sz w:val="32"/>
          <w:szCs w:val="32"/>
        </w:rPr>
      </w:pPr>
      <w:r>
        <w:rPr>
          <w:rFonts w:hint="eastAsia" w:ascii="仿宋_GB2312" w:eastAsia="仿宋_GB2312"/>
          <w:sz w:val="32"/>
          <w:szCs w:val="32"/>
        </w:rPr>
        <w:t>（原则上，甲方、丙方无须向乙方支付监管产生的费用或账户资金划转产生的手续费用。具体三方商定。）</w:t>
      </w:r>
    </w:p>
    <w:p>
      <w:pPr>
        <w:ind w:firstLine="640" w:firstLineChars="200"/>
        <w:rPr>
          <w:rFonts w:ascii="黑体" w:hAnsi="黑体" w:eastAsia="黑体"/>
          <w:sz w:val="32"/>
          <w:szCs w:val="32"/>
        </w:rPr>
      </w:pPr>
      <w:r>
        <w:rPr>
          <w:rFonts w:hint="eastAsia" w:ascii="黑体" w:hAnsi="黑体" w:eastAsia="黑体"/>
          <w:sz w:val="32"/>
          <w:szCs w:val="32"/>
        </w:rPr>
        <w:t>第七条</w:t>
      </w:r>
      <w:r>
        <w:rPr>
          <w:rFonts w:hint="eastAsia" w:ascii="黑体" w:hAnsi="黑体" w:eastAsia="黑体"/>
          <w:sz w:val="32"/>
          <w:szCs w:val="32"/>
          <w:lang w:val="en-US" w:eastAsia="zh-CN"/>
        </w:rPr>
        <w:t xml:space="preserve"> </w:t>
      </w:r>
      <w:r>
        <w:rPr>
          <w:rFonts w:hint="eastAsia" w:ascii="黑体" w:hAnsi="黑体" w:eastAsia="黑体"/>
          <w:sz w:val="32"/>
          <w:szCs w:val="32"/>
        </w:rPr>
        <w:t>协议生效</w:t>
      </w:r>
    </w:p>
    <w:p>
      <w:pPr>
        <w:ind w:firstLine="640" w:firstLineChars="200"/>
        <w:rPr>
          <w:rFonts w:ascii="仿宋_GB2312" w:eastAsia="仿宋_GB2312"/>
          <w:sz w:val="32"/>
          <w:szCs w:val="32"/>
        </w:rPr>
      </w:pPr>
      <w:r>
        <w:rPr>
          <w:rFonts w:hint="eastAsia" w:ascii="仿宋_GB2312" w:eastAsia="仿宋_GB2312"/>
          <w:sz w:val="32"/>
          <w:szCs w:val="32"/>
        </w:rPr>
        <w:t>本协议一式六份，甲、乙、丙各执两份。经三方法定代表人（或授权代理人）签字/签章并加盖公章或合同专用章后生效。本协议有效期为自协议签订之日起至专用账户撤销次日止。</w:t>
      </w:r>
    </w:p>
    <w:p>
      <w:pPr>
        <w:ind w:firstLine="640" w:firstLineChars="200"/>
        <w:rPr>
          <w:rFonts w:ascii="黑体" w:hAnsi="黑体" w:eastAsia="黑体"/>
          <w:sz w:val="32"/>
          <w:szCs w:val="32"/>
        </w:rPr>
      </w:pPr>
      <w:r>
        <w:rPr>
          <w:rFonts w:hint="eastAsia" w:ascii="黑体" w:hAnsi="黑体" w:eastAsia="黑体"/>
          <w:sz w:val="32"/>
          <w:szCs w:val="32"/>
        </w:rPr>
        <w:t>第八条 其他</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本协议未尽事宜，经三方协商一致后，可另行签订补充协议，如果补充协议条款与原协议不一致或发生冲突时，应当以补充协议为准。</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因本协议履行产生的纠纷，三方应当首先友好协商解决，协商不成的，三方均有权提交长春市仲裁委员会解决。</w:t>
      </w:r>
      <w:bookmarkStart w:id="0" w:name="_GoBack"/>
      <w:bookmarkEnd w:id="0"/>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甲方：</w:t>
      </w:r>
    </w:p>
    <w:p>
      <w:pPr>
        <w:rPr>
          <w:rFonts w:ascii="仿宋_GB2312" w:eastAsia="仿宋_GB2312"/>
          <w:sz w:val="32"/>
          <w:szCs w:val="32"/>
        </w:rPr>
      </w:pPr>
      <w:r>
        <w:rPr>
          <w:rFonts w:hint="eastAsia" w:ascii="仿宋_GB2312" w:eastAsia="仿宋_GB2312"/>
          <w:sz w:val="32"/>
          <w:szCs w:val="32"/>
        </w:rPr>
        <w:t>（盖章）</w:t>
      </w:r>
    </w:p>
    <w:p>
      <w:pPr>
        <w:rPr>
          <w:rFonts w:ascii="仿宋_GB2312" w:eastAsia="仿宋_GB2312"/>
          <w:sz w:val="32"/>
          <w:szCs w:val="32"/>
        </w:rPr>
      </w:pPr>
      <w:r>
        <w:rPr>
          <w:rFonts w:hint="eastAsia" w:ascii="仿宋_GB2312" w:eastAsia="仿宋_GB2312"/>
          <w:sz w:val="32"/>
          <w:szCs w:val="32"/>
        </w:rPr>
        <w:t>法定代表人（或授权代理人）签章：</w:t>
      </w:r>
    </w:p>
    <w:p>
      <w:pPr>
        <w:rPr>
          <w:rFonts w:ascii="仿宋_GB2312" w:eastAsia="仿宋_GB2312"/>
          <w:sz w:val="32"/>
          <w:szCs w:val="32"/>
        </w:rPr>
      </w:pPr>
      <w:r>
        <w:rPr>
          <w:rFonts w:hint="eastAsia" w:ascii="仿宋_GB2312" w:eastAsia="仿宋_GB2312"/>
          <w:sz w:val="32"/>
          <w:szCs w:val="32"/>
        </w:rPr>
        <w:t>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乙方：</w:t>
      </w:r>
    </w:p>
    <w:p>
      <w:pPr>
        <w:rPr>
          <w:rFonts w:ascii="仿宋_GB2312" w:eastAsia="仿宋_GB2312"/>
          <w:sz w:val="32"/>
          <w:szCs w:val="32"/>
        </w:rPr>
      </w:pPr>
      <w:r>
        <w:rPr>
          <w:rFonts w:hint="eastAsia" w:ascii="仿宋_GB2312" w:eastAsia="仿宋_GB2312"/>
          <w:sz w:val="32"/>
          <w:szCs w:val="32"/>
        </w:rPr>
        <w:t>（盖章）</w:t>
      </w:r>
    </w:p>
    <w:p>
      <w:pPr>
        <w:rPr>
          <w:rFonts w:ascii="仿宋_GB2312" w:eastAsia="仿宋_GB2312"/>
          <w:sz w:val="32"/>
          <w:szCs w:val="32"/>
        </w:rPr>
      </w:pPr>
      <w:r>
        <w:rPr>
          <w:rFonts w:hint="eastAsia" w:ascii="仿宋_GB2312" w:eastAsia="仿宋_GB2312"/>
          <w:sz w:val="32"/>
          <w:szCs w:val="32"/>
        </w:rPr>
        <w:t>负责人（或授权代理人）签章：</w:t>
      </w:r>
    </w:p>
    <w:p>
      <w:pPr>
        <w:rPr>
          <w:rFonts w:ascii="仿宋_GB2312" w:eastAsia="仿宋_GB2312"/>
          <w:sz w:val="32"/>
          <w:szCs w:val="32"/>
        </w:rPr>
      </w:pPr>
      <w:r>
        <w:rPr>
          <w:rFonts w:hint="eastAsia" w:ascii="仿宋_GB2312" w:eastAsia="仿宋_GB2312"/>
          <w:sz w:val="32"/>
          <w:szCs w:val="32"/>
        </w:rPr>
        <w:t>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丙方：</w:t>
      </w:r>
    </w:p>
    <w:p>
      <w:pPr>
        <w:rPr>
          <w:rFonts w:ascii="仿宋_GB2312" w:eastAsia="仿宋_GB2312"/>
          <w:sz w:val="32"/>
          <w:szCs w:val="32"/>
        </w:rPr>
      </w:pPr>
      <w:r>
        <w:rPr>
          <w:rFonts w:hint="eastAsia" w:ascii="仿宋_GB2312" w:eastAsia="仿宋_GB2312"/>
          <w:sz w:val="32"/>
          <w:szCs w:val="32"/>
        </w:rPr>
        <w:t>（盖章）</w:t>
      </w:r>
    </w:p>
    <w:p>
      <w:pPr>
        <w:rPr>
          <w:rFonts w:ascii="仿宋_GB2312" w:eastAsia="仿宋_GB2312"/>
          <w:sz w:val="32"/>
          <w:szCs w:val="32"/>
        </w:rPr>
      </w:pPr>
      <w:r>
        <w:rPr>
          <w:rFonts w:hint="eastAsia" w:ascii="仿宋_GB2312" w:eastAsia="仿宋_GB2312"/>
          <w:sz w:val="32"/>
          <w:szCs w:val="32"/>
        </w:rPr>
        <w:t>负责人（或授权代理人）签章：</w:t>
      </w:r>
    </w:p>
    <w:p>
      <w:pPr>
        <w:rPr>
          <w:rFonts w:ascii="仿宋_GB2312" w:eastAsia="仿宋_GB2312"/>
          <w:sz w:val="32"/>
          <w:szCs w:val="32"/>
        </w:rPr>
      </w:pPr>
      <w:r>
        <w:rPr>
          <w:rFonts w:hint="eastAsia" w:ascii="仿宋_GB2312" w:eastAsia="仿宋_GB2312"/>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思源宋体 CN">
    <w:panose1 w:val="02020400000000000000"/>
    <w:charset w:val="80"/>
    <w:family w:val="auto"/>
    <w:pitch w:val="default"/>
    <w:sig w:usb0="A00002BF" w:usb1="6ADFFDFE" w:usb2="00000016" w:usb3="00000000" w:csb0="40020001" w:csb1="D1D6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2816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2E"/>
    <w:rsid w:val="00156A55"/>
    <w:rsid w:val="002F7112"/>
    <w:rsid w:val="003A2F2E"/>
    <w:rsid w:val="003E2357"/>
    <w:rsid w:val="00480863"/>
    <w:rsid w:val="008368BB"/>
    <w:rsid w:val="00C5072A"/>
    <w:rsid w:val="00C63899"/>
    <w:rsid w:val="F9DAA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9</Pages>
  <Words>537</Words>
  <Characters>3065</Characters>
  <Lines>25</Lines>
  <Paragraphs>7</Paragraphs>
  <TotalTime>3</TotalTime>
  <ScaleCrop>false</ScaleCrop>
  <LinksUpToDate>false</LinksUpToDate>
  <CharactersWithSpaces>3595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2025-10-30T08:23:00Z</dcterms:created>
  <dc:creator>微软中国</dc:creator>
  <cp:lastModifiedBy>greatwall</cp:lastModifiedBy>
  <dcterms:modified xsi:type="dcterms:W3CDTF">2025-11-07T10:42:23Z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