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53B" w:rsidRDefault="00FB253B">
      <w:pPr>
        <w:spacing w:after="0" w:line="576" w:lineRule="exact"/>
        <w:jc w:val="center"/>
        <w:rPr>
          <w:rFonts w:ascii="方正小标宋简体" w:eastAsia="方正小标宋简体" w:hAnsi="华文中宋"/>
          <w:sz w:val="44"/>
          <w:lang w:eastAsia="zh-CN"/>
        </w:rPr>
      </w:pPr>
    </w:p>
    <w:p w:rsidR="00FB253B" w:rsidRDefault="00FB253B">
      <w:pPr>
        <w:spacing w:after="0" w:line="576" w:lineRule="exact"/>
        <w:jc w:val="center"/>
        <w:rPr>
          <w:rFonts w:ascii="方正小标宋简体" w:eastAsia="方正小标宋简体" w:hAnsi="华文中宋"/>
          <w:sz w:val="44"/>
          <w:lang w:eastAsia="zh-CN"/>
        </w:rPr>
      </w:pPr>
    </w:p>
    <w:p w:rsidR="001D5F1E" w:rsidRDefault="00E72EF5">
      <w:pPr>
        <w:spacing w:after="0" w:line="576" w:lineRule="exact"/>
        <w:jc w:val="center"/>
        <w:rPr>
          <w:rFonts w:ascii="方正小标宋简体" w:eastAsia="方正小标宋简体" w:hAnsi="华文中宋"/>
          <w:sz w:val="44"/>
          <w:lang w:eastAsia="zh-CN"/>
        </w:rPr>
      </w:pPr>
      <w:r>
        <w:rPr>
          <w:rFonts w:ascii="方正小标宋简体" w:eastAsia="方正小标宋简体" w:hAnsi="华文中宋" w:hint="eastAsia"/>
          <w:sz w:val="44"/>
          <w:lang w:eastAsia="zh-CN"/>
        </w:rPr>
        <w:t>长春市推进存量资源改建养老服务设施</w:t>
      </w:r>
    </w:p>
    <w:p w:rsidR="001D5F1E" w:rsidRDefault="00E72EF5">
      <w:pPr>
        <w:spacing w:after="0" w:line="576" w:lineRule="exact"/>
        <w:jc w:val="center"/>
        <w:rPr>
          <w:rFonts w:ascii="方正小标宋简体" w:eastAsia="方正小标宋简体" w:hAnsi="华文中宋"/>
          <w:sz w:val="44"/>
          <w:lang w:eastAsia="zh-CN"/>
        </w:rPr>
      </w:pPr>
      <w:r>
        <w:rPr>
          <w:rFonts w:ascii="方正小标宋简体" w:eastAsia="方正小标宋简体" w:hAnsi="华文中宋" w:hint="eastAsia"/>
          <w:sz w:val="44"/>
          <w:lang w:eastAsia="zh-CN"/>
        </w:rPr>
        <w:t>实施办法</w:t>
      </w:r>
    </w:p>
    <w:p w:rsidR="001D5F1E" w:rsidRDefault="001D5F1E">
      <w:pPr>
        <w:spacing w:after="0" w:line="576" w:lineRule="exact"/>
        <w:ind w:firstLineChars="200" w:firstLine="640"/>
        <w:jc w:val="both"/>
        <w:rPr>
          <w:rFonts w:ascii="仿宋_GB2312" w:eastAsia="仿宋_GB2312"/>
          <w:szCs w:val="32"/>
          <w:lang w:eastAsia="zh-CN"/>
        </w:rPr>
      </w:pPr>
    </w:p>
    <w:p w:rsidR="001D5F1E" w:rsidRDefault="00E72EF5">
      <w:pPr>
        <w:spacing w:after="0" w:line="576" w:lineRule="exact"/>
        <w:ind w:firstLineChars="200" w:firstLine="640"/>
        <w:jc w:val="both"/>
        <w:rPr>
          <w:rFonts w:ascii="仿宋_GB2312" w:eastAsia="仿宋_GB2312"/>
          <w:szCs w:val="32"/>
          <w:lang w:eastAsia="zh-CN"/>
        </w:rPr>
      </w:pPr>
      <w:r>
        <w:rPr>
          <w:rFonts w:ascii="仿宋_GB2312" w:eastAsia="仿宋_GB2312" w:hint="eastAsia"/>
          <w:szCs w:val="32"/>
          <w:lang w:eastAsia="zh-CN"/>
        </w:rPr>
        <w:t>为积极应对人口老龄化，盘活存量资源、扩大普惠养老服务供给，根据《中华人民共和国老年人权益保障法》《养老机构管理办法》《吉林省养老服务条例》《长春市养老服务条例》《长春市临时改变房屋用途管理办法》（长府办</w:t>
      </w:r>
      <w:proofErr w:type="gramStart"/>
      <w:r>
        <w:rPr>
          <w:rFonts w:ascii="仿宋_GB2312" w:eastAsia="仿宋_GB2312" w:hint="eastAsia"/>
          <w:szCs w:val="32"/>
          <w:lang w:eastAsia="zh-CN"/>
        </w:rPr>
        <w:t>规</w:t>
      </w:r>
      <w:proofErr w:type="gramEnd"/>
      <w:r>
        <w:rPr>
          <w:rFonts w:ascii="仿宋_GB2312" w:eastAsia="仿宋_GB2312" w:hint="eastAsia"/>
          <w:szCs w:val="32"/>
          <w:lang w:eastAsia="zh-CN"/>
        </w:rPr>
        <w:t>〔2024〕3号）等规定，结合本市实际，制定本办法。</w:t>
      </w:r>
    </w:p>
    <w:p w:rsidR="001D5F1E" w:rsidRDefault="00E72EF5">
      <w:pPr>
        <w:spacing w:after="0" w:line="576" w:lineRule="exact"/>
        <w:ind w:firstLineChars="200" w:firstLine="640"/>
        <w:rPr>
          <w:rFonts w:ascii="黑体" w:eastAsia="黑体" w:hAnsi="黑体"/>
          <w:bCs/>
          <w:szCs w:val="32"/>
          <w:lang w:eastAsia="zh-CN"/>
        </w:rPr>
      </w:pPr>
      <w:r>
        <w:rPr>
          <w:rFonts w:ascii="黑体" w:eastAsia="黑体" w:hAnsi="黑体" w:hint="eastAsia"/>
          <w:bCs/>
          <w:szCs w:val="32"/>
          <w:lang w:eastAsia="zh-CN"/>
        </w:rPr>
        <w:t>一、适用范围与改建类型</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（一）存量资源范围。</w:t>
      </w:r>
      <w:r>
        <w:rPr>
          <w:rFonts w:ascii="仿宋_GB2312" w:eastAsia="仿宋_GB2312" w:hint="eastAsia"/>
          <w:szCs w:val="32"/>
          <w:lang w:eastAsia="zh-CN"/>
        </w:rPr>
        <w:t>下列存量资源可用于改建养老服务设施：</w:t>
      </w:r>
    </w:p>
    <w:p w:rsidR="001D5F1E" w:rsidRDefault="00E72EF5">
      <w:pPr>
        <w:spacing w:after="0" w:line="576" w:lineRule="exact"/>
        <w:ind w:firstLineChars="200" w:firstLine="640"/>
        <w:jc w:val="both"/>
        <w:rPr>
          <w:rFonts w:ascii="仿宋_GB2312" w:eastAsia="仿宋_GB2312"/>
          <w:szCs w:val="32"/>
          <w:lang w:eastAsia="zh-CN"/>
        </w:rPr>
      </w:pPr>
      <w:r>
        <w:rPr>
          <w:rFonts w:ascii="仿宋_GB2312" w:eastAsia="仿宋_GB2312" w:hint="eastAsia"/>
          <w:szCs w:val="32"/>
          <w:lang w:eastAsia="zh-CN"/>
        </w:rPr>
        <w:t>1.党政机关、国有企事业单位闲置用房以及社区闲置用房；</w:t>
      </w:r>
    </w:p>
    <w:p w:rsidR="001D5F1E" w:rsidRDefault="00E72EF5">
      <w:pPr>
        <w:spacing w:after="0" w:line="576" w:lineRule="exact"/>
        <w:ind w:firstLineChars="200" w:firstLine="640"/>
        <w:jc w:val="both"/>
        <w:rPr>
          <w:rFonts w:ascii="仿宋_GB2312" w:eastAsia="仿宋_GB2312"/>
          <w:szCs w:val="32"/>
          <w:lang w:eastAsia="zh-CN"/>
        </w:rPr>
      </w:pPr>
      <w:r>
        <w:rPr>
          <w:rFonts w:ascii="仿宋_GB2312" w:eastAsia="仿宋_GB2312"/>
          <w:szCs w:val="32"/>
          <w:lang w:eastAsia="zh-CN"/>
        </w:rPr>
        <w:t>2</w:t>
      </w:r>
      <w:r>
        <w:rPr>
          <w:rFonts w:ascii="仿宋_GB2312" w:eastAsia="仿宋_GB2312" w:hint="eastAsia"/>
          <w:szCs w:val="32"/>
          <w:lang w:eastAsia="zh-CN"/>
        </w:rPr>
        <w:t>.闲置厂房、酒店、学校、商业设施、办公用房、仓库等；</w:t>
      </w:r>
    </w:p>
    <w:p w:rsidR="001D5F1E" w:rsidRDefault="00E72EF5">
      <w:pPr>
        <w:spacing w:after="0" w:line="576" w:lineRule="exact"/>
        <w:ind w:firstLineChars="200" w:firstLine="640"/>
        <w:jc w:val="both"/>
        <w:rPr>
          <w:rFonts w:ascii="仿宋_GB2312" w:eastAsia="仿宋_GB2312"/>
          <w:szCs w:val="32"/>
          <w:lang w:eastAsia="zh-CN"/>
        </w:rPr>
      </w:pPr>
      <w:r>
        <w:rPr>
          <w:rFonts w:ascii="仿宋_GB2312" w:eastAsia="仿宋_GB2312"/>
          <w:szCs w:val="32"/>
          <w:lang w:eastAsia="zh-CN"/>
        </w:rPr>
        <w:t>3</w:t>
      </w:r>
      <w:r>
        <w:rPr>
          <w:rFonts w:ascii="仿宋_GB2312" w:eastAsia="仿宋_GB2312" w:hint="eastAsia"/>
          <w:szCs w:val="32"/>
          <w:lang w:eastAsia="zh-CN"/>
        </w:rPr>
        <w:t>.其他适合改建的存量资源。</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（二）养老服务设施类型。</w:t>
      </w:r>
      <w:r>
        <w:rPr>
          <w:rFonts w:ascii="仿宋_GB2312" w:eastAsia="仿宋_GB2312" w:hint="eastAsia"/>
          <w:szCs w:val="32"/>
          <w:lang w:eastAsia="zh-CN"/>
        </w:rPr>
        <w:t>养老服务设施主要包括：</w:t>
      </w:r>
    </w:p>
    <w:p w:rsidR="001D5F1E" w:rsidRDefault="00E72EF5">
      <w:pPr>
        <w:spacing w:after="0" w:line="576" w:lineRule="exact"/>
        <w:ind w:firstLineChars="200" w:firstLine="640"/>
        <w:jc w:val="both"/>
        <w:rPr>
          <w:rFonts w:ascii="仿宋_GB2312" w:eastAsia="仿宋_GB2312"/>
          <w:szCs w:val="32"/>
          <w:lang w:eastAsia="zh-CN"/>
        </w:rPr>
      </w:pPr>
      <w:r>
        <w:rPr>
          <w:rFonts w:ascii="仿宋_GB2312" w:eastAsia="仿宋_GB2312" w:hint="eastAsia"/>
          <w:szCs w:val="32"/>
          <w:lang w:eastAsia="zh-CN"/>
        </w:rPr>
        <w:t>1.养老机构。依法办理登记，为老年人提供全日集中住宿和照料护理服务，床位数10张以上的机构；</w:t>
      </w:r>
    </w:p>
    <w:p w:rsidR="001D5F1E" w:rsidRDefault="00E72EF5">
      <w:pPr>
        <w:spacing w:after="0" w:line="576" w:lineRule="exact"/>
        <w:ind w:firstLineChars="200" w:firstLine="640"/>
        <w:jc w:val="both"/>
        <w:rPr>
          <w:rFonts w:ascii="仿宋_GB2312" w:eastAsia="仿宋_GB2312"/>
          <w:szCs w:val="32"/>
          <w:lang w:eastAsia="zh-CN"/>
        </w:rPr>
      </w:pPr>
      <w:r>
        <w:rPr>
          <w:rFonts w:ascii="仿宋_GB2312" w:eastAsia="仿宋_GB2312" w:hint="eastAsia"/>
          <w:szCs w:val="32"/>
          <w:lang w:eastAsia="zh-CN"/>
        </w:rPr>
        <w:t>2.社区居家养老服务设施。包括社区居家养老服务中心、敬老餐厅、老年活动中心、银发商店等。</w:t>
      </w:r>
    </w:p>
    <w:p w:rsidR="001D5F1E" w:rsidRDefault="00E72EF5">
      <w:pPr>
        <w:spacing w:after="0" w:line="576" w:lineRule="exact"/>
        <w:ind w:firstLineChars="200" w:firstLine="640"/>
        <w:jc w:val="both"/>
        <w:rPr>
          <w:rFonts w:ascii="黑体" w:eastAsia="黑体" w:hAnsi="黑体"/>
          <w:bCs/>
          <w:szCs w:val="32"/>
          <w:lang w:eastAsia="zh-CN"/>
        </w:rPr>
      </w:pPr>
      <w:r>
        <w:rPr>
          <w:rFonts w:ascii="黑体" w:eastAsia="黑体" w:hAnsi="黑体" w:hint="eastAsia"/>
          <w:bCs/>
          <w:szCs w:val="32"/>
          <w:lang w:eastAsia="zh-CN"/>
        </w:rPr>
        <w:lastRenderedPageBreak/>
        <w:t>二、申报程序</w:t>
      </w:r>
    </w:p>
    <w:p w:rsidR="001D5F1E" w:rsidRDefault="00E72EF5">
      <w:pPr>
        <w:spacing w:after="0" w:line="576" w:lineRule="exact"/>
        <w:ind w:firstLineChars="200" w:firstLine="640"/>
        <w:rPr>
          <w:rFonts w:ascii="仿宋_GB2312" w:eastAsia="仿宋_GB2312"/>
          <w:szCs w:val="32"/>
          <w:lang w:eastAsia="zh-CN"/>
        </w:rPr>
      </w:pPr>
      <w:r>
        <w:rPr>
          <w:rFonts w:ascii="仿宋_GB2312" w:eastAsia="仿宋_GB2312" w:hint="eastAsia"/>
          <w:szCs w:val="32"/>
          <w:lang w:eastAsia="zh-CN"/>
        </w:rPr>
        <w:t>存量资源改建养老服务设施工作按照以下程序办理（具体见附件1）：</w:t>
      </w:r>
    </w:p>
    <w:p w:rsidR="001D5F1E" w:rsidRDefault="00E72EF5">
      <w:pPr>
        <w:spacing w:after="0" w:line="576" w:lineRule="exact"/>
        <w:ind w:firstLineChars="200" w:firstLine="640"/>
        <w:rPr>
          <w:rFonts w:ascii="仿宋_GB2312" w:eastAsia="仿宋_GB2312"/>
          <w:szCs w:val="32"/>
          <w:lang w:eastAsia="zh-CN"/>
        </w:rPr>
      </w:pPr>
      <w:r>
        <w:rPr>
          <w:rFonts w:ascii="楷体_GB2312" w:eastAsia="楷体_GB2312" w:hint="eastAsia"/>
          <w:szCs w:val="32"/>
          <w:lang w:eastAsia="zh-CN"/>
        </w:rPr>
        <w:t>（一）提出申请。</w:t>
      </w:r>
      <w:r>
        <w:rPr>
          <w:rFonts w:ascii="仿宋_GB2312" w:eastAsia="仿宋_GB2312" w:hint="eastAsia"/>
          <w:szCs w:val="32"/>
          <w:lang w:eastAsia="zh-CN"/>
        </w:rPr>
        <w:t>项目主</w:t>
      </w:r>
      <w:r w:rsidR="00B13ABE">
        <w:rPr>
          <w:rFonts w:ascii="仿宋_GB2312" w:eastAsia="仿宋_GB2312" w:hint="eastAsia"/>
          <w:szCs w:val="32"/>
          <w:lang w:eastAsia="zh-CN"/>
        </w:rPr>
        <w:t>体向所在地县（市）区</w:t>
      </w:r>
      <w:r w:rsidR="00B13ABE">
        <w:rPr>
          <w:rFonts w:ascii="仿宋_GB2312" w:eastAsia="仿宋_GB2312"/>
          <w:szCs w:val="32"/>
          <w:lang w:eastAsia="zh-CN"/>
        </w:rPr>
        <w:t>、开发区</w:t>
      </w:r>
      <w:r>
        <w:rPr>
          <w:rFonts w:ascii="仿宋_GB2312" w:eastAsia="仿宋_GB2312" w:hint="eastAsia"/>
          <w:szCs w:val="32"/>
          <w:lang w:eastAsia="zh-CN"/>
        </w:rPr>
        <w:t>民政部门提出改建申请。</w:t>
      </w:r>
    </w:p>
    <w:p w:rsidR="001D5F1E" w:rsidRDefault="00E72EF5">
      <w:pPr>
        <w:spacing w:after="0" w:line="576" w:lineRule="exact"/>
        <w:ind w:firstLineChars="200" w:firstLine="640"/>
        <w:rPr>
          <w:rFonts w:ascii="仿宋_GB2312" w:eastAsia="仿宋_GB2312"/>
          <w:szCs w:val="32"/>
          <w:lang w:eastAsia="zh-CN"/>
        </w:rPr>
      </w:pPr>
      <w:r>
        <w:rPr>
          <w:rFonts w:ascii="楷体_GB2312" w:eastAsia="楷体_GB2312" w:hint="eastAsia"/>
          <w:szCs w:val="32"/>
          <w:lang w:eastAsia="zh-CN"/>
        </w:rPr>
        <w:t>（二）部门会商。</w:t>
      </w:r>
      <w:r w:rsidR="00B13ABE">
        <w:rPr>
          <w:rFonts w:ascii="仿宋_GB2312" w:eastAsia="仿宋_GB2312" w:hint="eastAsia"/>
          <w:szCs w:val="32"/>
          <w:lang w:eastAsia="zh-CN"/>
        </w:rPr>
        <w:t>县（市）区</w:t>
      </w:r>
      <w:r w:rsidR="00B13ABE">
        <w:rPr>
          <w:rFonts w:ascii="仿宋_GB2312" w:eastAsia="仿宋_GB2312"/>
          <w:szCs w:val="32"/>
          <w:lang w:eastAsia="zh-CN"/>
        </w:rPr>
        <w:t>、开发区</w:t>
      </w:r>
      <w:r>
        <w:rPr>
          <w:rFonts w:ascii="仿宋_GB2312" w:eastAsia="仿宋_GB2312" w:hint="eastAsia"/>
          <w:szCs w:val="32"/>
          <w:lang w:eastAsia="zh-CN"/>
        </w:rPr>
        <w:t>民政部门汇总相关资料后报</w:t>
      </w:r>
      <w:r w:rsidR="00B13ABE">
        <w:rPr>
          <w:rFonts w:ascii="仿宋_GB2312" w:eastAsia="仿宋_GB2312" w:hint="eastAsia"/>
          <w:szCs w:val="32"/>
          <w:lang w:eastAsia="zh-CN"/>
        </w:rPr>
        <w:t>县（市）区</w:t>
      </w:r>
      <w:r>
        <w:rPr>
          <w:rFonts w:ascii="仿宋_GB2312" w:eastAsia="仿宋_GB2312" w:hint="eastAsia"/>
          <w:szCs w:val="32"/>
          <w:lang w:eastAsia="zh-CN"/>
        </w:rPr>
        <w:t>人民政府</w:t>
      </w:r>
      <w:r w:rsidR="00B13ABE">
        <w:rPr>
          <w:rFonts w:ascii="仿宋_GB2312" w:eastAsia="仿宋_GB2312"/>
          <w:szCs w:val="32"/>
          <w:lang w:eastAsia="zh-CN"/>
        </w:rPr>
        <w:t>、开发区</w:t>
      </w:r>
      <w:r w:rsidR="00B13ABE">
        <w:rPr>
          <w:rFonts w:ascii="仿宋_GB2312" w:eastAsia="仿宋_GB2312" w:hint="eastAsia"/>
          <w:szCs w:val="32"/>
          <w:lang w:eastAsia="zh-CN"/>
        </w:rPr>
        <w:t>管委会</w:t>
      </w:r>
      <w:r>
        <w:rPr>
          <w:rFonts w:ascii="仿宋_GB2312" w:eastAsia="仿宋_GB2312" w:hint="eastAsia"/>
          <w:szCs w:val="32"/>
          <w:lang w:eastAsia="zh-CN"/>
        </w:rPr>
        <w:t>，由</w:t>
      </w:r>
      <w:r w:rsidR="00B13ABE">
        <w:rPr>
          <w:rFonts w:ascii="仿宋_GB2312" w:eastAsia="仿宋_GB2312" w:hint="eastAsia"/>
          <w:szCs w:val="32"/>
          <w:lang w:eastAsia="zh-CN"/>
        </w:rPr>
        <w:t>县（市）区人民政府</w:t>
      </w:r>
      <w:r w:rsidR="00B13ABE">
        <w:rPr>
          <w:rFonts w:ascii="仿宋_GB2312" w:eastAsia="仿宋_GB2312"/>
          <w:szCs w:val="32"/>
          <w:lang w:eastAsia="zh-CN"/>
        </w:rPr>
        <w:t>、开发区</w:t>
      </w:r>
      <w:r w:rsidR="00B13ABE">
        <w:rPr>
          <w:rFonts w:ascii="仿宋_GB2312" w:eastAsia="仿宋_GB2312" w:hint="eastAsia"/>
          <w:szCs w:val="32"/>
          <w:lang w:eastAsia="zh-CN"/>
        </w:rPr>
        <w:t>管委会</w:t>
      </w:r>
      <w:r>
        <w:rPr>
          <w:rFonts w:ascii="仿宋_GB2312" w:eastAsia="仿宋_GB2312" w:hint="eastAsia"/>
          <w:szCs w:val="32"/>
          <w:lang w:eastAsia="zh-CN"/>
        </w:rPr>
        <w:t>组织民政、规划和自然资源、住房和城乡建设、消防救援、生态环境等部门及所在地乡镇（街道）进行会商，各部门按职责提出审查意见，形成会议纪要。</w:t>
      </w:r>
    </w:p>
    <w:p w:rsidR="001D5F1E" w:rsidRDefault="00E72EF5">
      <w:pPr>
        <w:spacing w:after="0" w:line="576" w:lineRule="exact"/>
        <w:ind w:firstLineChars="200" w:firstLine="640"/>
        <w:rPr>
          <w:rFonts w:ascii="仿宋_GB2312" w:eastAsia="仿宋_GB2312"/>
          <w:szCs w:val="32"/>
          <w:lang w:eastAsia="zh-CN"/>
        </w:rPr>
      </w:pPr>
      <w:r>
        <w:rPr>
          <w:rFonts w:ascii="楷体_GB2312" w:eastAsia="楷体_GB2312" w:hint="eastAsia"/>
          <w:szCs w:val="32"/>
          <w:lang w:eastAsia="zh-CN"/>
        </w:rPr>
        <w:t>（三）审批建设。</w:t>
      </w:r>
      <w:r>
        <w:rPr>
          <w:rFonts w:ascii="仿宋_GB2312" w:eastAsia="仿宋_GB2312" w:hint="eastAsia"/>
          <w:szCs w:val="32"/>
          <w:lang w:eastAsia="zh-CN"/>
        </w:rPr>
        <w:t>项目主体根据会议纪要，向规划和自然资源、住房和城乡建设等部门申请办理相关手续，按照基本建设程序组织实施。</w:t>
      </w:r>
    </w:p>
    <w:p w:rsidR="001D5F1E" w:rsidRDefault="00E72EF5">
      <w:pPr>
        <w:spacing w:after="0" w:line="576" w:lineRule="exact"/>
        <w:ind w:firstLineChars="200" w:firstLine="640"/>
        <w:rPr>
          <w:rFonts w:ascii="仿宋_GB2312" w:eastAsia="仿宋_GB2312"/>
          <w:szCs w:val="32"/>
          <w:lang w:eastAsia="zh-CN"/>
        </w:rPr>
      </w:pPr>
      <w:r>
        <w:rPr>
          <w:rFonts w:ascii="楷体_GB2312" w:eastAsia="楷体_GB2312" w:hint="eastAsia"/>
          <w:szCs w:val="32"/>
          <w:lang w:eastAsia="zh-CN"/>
        </w:rPr>
        <w:t>（四）验收备案。</w:t>
      </w:r>
      <w:r>
        <w:rPr>
          <w:rFonts w:ascii="仿宋_GB2312" w:eastAsia="仿宋_GB2312" w:hint="eastAsia"/>
          <w:szCs w:val="32"/>
          <w:lang w:eastAsia="zh-CN"/>
        </w:rPr>
        <w:t>项目竣工后，由</w:t>
      </w:r>
      <w:r w:rsidR="00B13ABE">
        <w:rPr>
          <w:rFonts w:ascii="仿宋_GB2312" w:eastAsia="仿宋_GB2312" w:hint="eastAsia"/>
          <w:szCs w:val="32"/>
          <w:lang w:eastAsia="zh-CN"/>
        </w:rPr>
        <w:t>县（市）区</w:t>
      </w:r>
      <w:r w:rsidR="00B13ABE">
        <w:rPr>
          <w:rFonts w:ascii="仿宋_GB2312" w:eastAsia="仿宋_GB2312"/>
          <w:szCs w:val="32"/>
          <w:lang w:eastAsia="zh-CN"/>
        </w:rPr>
        <w:t>、开发区</w:t>
      </w:r>
      <w:r w:rsidR="00B13ABE">
        <w:rPr>
          <w:rFonts w:ascii="仿宋_GB2312" w:eastAsia="仿宋_GB2312" w:hint="eastAsia"/>
          <w:szCs w:val="32"/>
          <w:lang w:eastAsia="zh-CN"/>
        </w:rPr>
        <w:t>民政部门</w:t>
      </w:r>
      <w:r>
        <w:rPr>
          <w:rFonts w:ascii="仿宋_GB2312" w:eastAsia="仿宋_GB2312" w:hint="eastAsia"/>
          <w:szCs w:val="32"/>
          <w:lang w:eastAsia="zh-CN"/>
        </w:rPr>
        <w:t>组织或参与验收，依规核发养老机构备案证书或进行运营登记。</w:t>
      </w:r>
    </w:p>
    <w:p w:rsidR="001D5F1E" w:rsidRDefault="00E72EF5">
      <w:pPr>
        <w:spacing w:after="0" w:line="576" w:lineRule="exact"/>
        <w:ind w:firstLineChars="200" w:firstLine="640"/>
        <w:jc w:val="both"/>
        <w:rPr>
          <w:rFonts w:ascii="黑体" w:eastAsia="黑体" w:hAnsi="黑体"/>
          <w:bCs/>
          <w:szCs w:val="32"/>
          <w:lang w:eastAsia="zh-CN"/>
        </w:rPr>
      </w:pPr>
      <w:r>
        <w:rPr>
          <w:rFonts w:ascii="黑体" w:eastAsia="黑体" w:hAnsi="黑体" w:hint="eastAsia"/>
          <w:bCs/>
          <w:szCs w:val="32"/>
          <w:lang w:eastAsia="zh-CN"/>
        </w:rPr>
        <w:t>三、建设要求</w:t>
      </w:r>
    </w:p>
    <w:p w:rsidR="001D5F1E" w:rsidRPr="007D2A88"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（一）基本要求。</w:t>
      </w:r>
      <w:r>
        <w:rPr>
          <w:rFonts w:ascii="仿宋_GB2312" w:eastAsia="仿宋_GB2312" w:hint="eastAsia"/>
          <w:szCs w:val="32"/>
          <w:lang w:eastAsia="zh-CN"/>
        </w:rPr>
        <w:t>应当符合国土空间规划，房屋结构安全、消防安全达标，设有直通室外的独立出入口，满足消防、疏散及救护要求。应当与产生噪音污染场所、污染源、噪声源及危险性生产储存区域的间距满足国家有关规定。</w:t>
      </w:r>
      <w:r w:rsidR="005B4F03" w:rsidRPr="007D2A88">
        <w:rPr>
          <w:rFonts w:ascii="仿宋_GB2312" w:eastAsia="仿宋_GB2312" w:hint="eastAsia"/>
          <w:szCs w:val="32"/>
          <w:lang w:eastAsia="zh-CN"/>
        </w:rPr>
        <w:t>原</w:t>
      </w:r>
      <w:r w:rsidR="005B4F03" w:rsidRPr="007D2A88">
        <w:rPr>
          <w:rFonts w:ascii="仿宋_GB2312" w:eastAsia="仿宋_GB2312"/>
          <w:szCs w:val="32"/>
          <w:lang w:eastAsia="zh-CN"/>
        </w:rPr>
        <w:t>地</w:t>
      </w:r>
      <w:proofErr w:type="gramStart"/>
      <w:r w:rsidR="005B4F03" w:rsidRPr="007D2A88">
        <w:rPr>
          <w:rFonts w:ascii="仿宋_GB2312" w:eastAsia="仿宋_GB2312"/>
          <w:szCs w:val="32"/>
          <w:lang w:eastAsia="zh-CN"/>
        </w:rPr>
        <w:t>块</w:t>
      </w:r>
      <w:r w:rsidR="005B4F03" w:rsidRPr="007D2A88">
        <w:rPr>
          <w:rFonts w:ascii="仿宋_GB2312" w:eastAsia="仿宋_GB2312" w:hint="eastAsia"/>
          <w:szCs w:val="32"/>
          <w:lang w:eastAsia="zh-CN"/>
        </w:rPr>
        <w:t>应当未</w:t>
      </w:r>
      <w:proofErr w:type="gramEnd"/>
      <w:r w:rsidR="005B4F03" w:rsidRPr="007D2A88">
        <w:rPr>
          <w:rFonts w:ascii="仿宋_GB2312" w:eastAsia="仿宋_GB2312"/>
          <w:szCs w:val="32"/>
          <w:lang w:eastAsia="zh-CN"/>
        </w:rPr>
        <w:t>从事过</w:t>
      </w:r>
      <w:r w:rsidR="005B4F03" w:rsidRPr="007D2A88">
        <w:rPr>
          <w:rFonts w:ascii="仿宋_GB2312" w:eastAsia="仿宋_GB2312" w:hint="eastAsia"/>
          <w:szCs w:val="32"/>
          <w:lang w:eastAsia="zh-CN"/>
        </w:rPr>
        <w:t>环境</w:t>
      </w:r>
      <w:r w:rsidR="005B4F03" w:rsidRPr="007D2A88">
        <w:rPr>
          <w:rFonts w:ascii="仿宋_GB2312" w:eastAsia="仿宋_GB2312"/>
          <w:szCs w:val="32"/>
          <w:lang w:eastAsia="zh-CN"/>
        </w:rPr>
        <w:t>污染</w:t>
      </w:r>
      <w:r w:rsidR="005B4F03" w:rsidRPr="007D2A88">
        <w:rPr>
          <w:rFonts w:ascii="仿宋_GB2312" w:eastAsia="仿宋_GB2312" w:hint="eastAsia"/>
          <w:szCs w:val="32"/>
          <w:lang w:eastAsia="zh-CN"/>
        </w:rPr>
        <w:t>高风险</w:t>
      </w:r>
      <w:r w:rsidR="005B4F03" w:rsidRPr="007D2A88">
        <w:rPr>
          <w:rFonts w:ascii="仿宋_GB2312" w:eastAsia="仿宋_GB2312"/>
          <w:szCs w:val="32"/>
          <w:lang w:eastAsia="zh-CN"/>
        </w:rPr>
        <w:t>项目。</w:t>
      </w:r>
      <w:r w:rsidR="00B4723A" w:rsidRPr="007D2A88">
        <w:rPr>
          <w:rFonts w:ascii="仿宋_GB2312" w:eastAsia="仿宋_GB2312" w:hint="eastAsia"/>
          <w:szCs w:val="32"/>
          <w:lang w:eastAsia="zh-CN"/>
        </w:rPr>
        <w:t>原地块用</w:t>
      </w:r>
      <w:r w:rsidR="00B4723A" w:rsidRPr="007D2A88">
        <w:rPr>
          <w:rFonts w:ascii="仿宋_GB2312" w:eastAsia="仿宋_GB2312" w:hint="eastAsia"/>
          <w:szCs w:val="32"/>
          <w:lang w:eastAsia="zh-CN"/>
        </w:rPr>
        <w:lastRenderedPageBreak/>
        <w:t>途非一住两公的，土壤污染状况调查结果应当符合用地标准</w:t>
      </w:r>
      <w:r w:rsidR="004F351D" w:rsidRPr="007D2A88">
        <w:rPr>
          <w:rFonts w:ascii="仿宋_GB2312" w:eastAsia="仿宋_GB2312" w:hint="eastAsia"/>
          <w:szCs w:val="32"/>
          <w:lang w:eastAsia="zh-CN"/>
        </w:rPr>
        <w:t>。</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（二）建筑设计要求。</w:t>
      </w:r>
      <w:r>
        <w:rPr>
          <w:rFonts w:ascii="仿宋_GB2312" w:eastAsia="仿宋_GB2312" w:hint="eastAsia"/>
          <w:szCs w:val="32"/>
          <w:lang w:eastAsia="zh-CN"/>
        </w:rPr>
        <w:t>改建养老服务设施应当符合《养老设施建筑设计规范》（GB 50867）、《无障碍设计规范》（GB 50763）等标准。主要出入口应当平坡设置、无障碍进出，供老年人使用的场所不得安排在地下室、半地下室和夹层。（具体建设要求见附件2）</w:t>
      </w:r>
    </w:p>
    <w:p w:rsidR="001D5F1E" w:rsidRDefault="00E72EF5">
      <w:pPr>
        <w:spacing w:after="0" w:line="576" w:lineRule="exact"/>
        <w:ind w:firstLineChars="200" w:firstLine="640"/>
        <w:jc w:val="both"/>
        <w:rPr>
          <w:rFonts w:ascii="仿宋_GB2312" w:eastAsia="仿宋_GB2312"/>
          <w:szCs w:val="32"/>
          <w:lang w:eastAsia="zh-CN"/>
        </w:rPr>
      </w:pPr>
      <w:r w:rsidRPr="00E650B0">
        <w:rPr>
          <w:rFonts w:ascii="楷体_GB2312" w:eastAsia="楷体_GB2312"/>
          <w:szCs w:val="32"/>
          <w:lang w:eastAsia="zh-CN"/>
        </w:rPr>
        <w:t>（三）其他相关要求。</w:t>
      </w:r>
      <w:r w:rsidRPr="00E650B0">
        <w:rPr>
          <w:rFonts w:ascii="仿宋_GB2312" w:eastAsia="仿宋_GB2312"/>
          <w:szCs w:val="32"/>
          <w:lang w:eastAsia="zh-CN"/>
        </w:rPr>
        <w:t>改建项目间距、日照、退界、交通、市政配套、绿地率等指标，可按不低于现状水平控制。</w:t>
      </w:r>
      <w:r w:rsidR="00015CE0">
        <w:rPr>
          <w:rFonts w:ascii="仿宋_GB2312" w:eastAsia="仿宋_GB2312" w:hint="eastAsia"/>
          <w:szCs w:val="32"/>
          <w:lang w:eastAsia="zh-CN"/>
        </w:rPr>
        <w:t>对</w:t>
      </w:r>
      <w:r w:rsidR="00015CE0">
        <w:rPr>
          <w:rFonts w:ascii="仿宋_GB2312" w:eastAsia="仿宋_GB2312"/>
          <w:szCs w:val="32"/>
          <w:lang w:eastAsia="zh-CN"/>
        </w:rPr>
        <w:t>永久改变房屋用途改建养老服务设施的，应依法调整控制性详细规划，按</w:t>
      </w:r>
      <w:r w:rsidR="00015CE0">
        <w:rPr>
          <w:rFonts w:ascii="仿宋_GB2312" w:eastAsia="仿宋_GB2312" w:hint="eastAsia"/>
          <w:szCs w:val="32"/>
          <w:lang w:eastAsia="zh-CN"/>
        </w:rPr>
        <w:t>省</w:t>
      </w:r>
      <w:r w:rsidR="00015CE0">
        <w:rPr>
          <w:rFonts w:ascii="仿宋_GB2312" w:eastAsia="仿宋_GB2312"/>
          <w:szCs w:val="32"/>
          <w:lang w:eastAsia="zh-CN"/>
        </w:rPr>
        <w:t>工改平台规定的程序履行有关规划、土地徐可和审批手续。</w:t>
      </w:r>
      <w:r w:rsidR="00015CE0">
        <w:rPr>
          <w:rFonts w:ascii="仿宋_GB2312" w:eastAsia="仿宋_GB2312" w:hint="eastAsia"/>
          <w:szCs w:val="32"/>
          <w:lang w:eastAsia="zh-CN"/>
        </w:rPr>
        <w:t>对临时</w:t>
      </w:r>
      <w:r w:rsidR="00015CE0">
        <w:rPr>
          <w:rFonts w:ascii="仿宋_GB2312" w:eastAsia="仿宋_GB2312"/>
          <w:szCs w:val="32"/>
          <w:lang w:eastAsia="zh-CN"/>
        </w:rPr>
        <w:t>改变房屋用途改建养老服务设施</w:t>
      </w:r>
      <w:r w:rsidR="00015CE0">
        <w:rPr>
          <w:rFonts w:ascii="仿宋_GB2312" w:eastAsia="仿宋_GB2312" w:hint="eastAsia"/>
          <w:szCs w:val="32"/>
          <w:lang w:eastAsia="zh-CN"/>
        </w:rPr>
        <w:t>的</w:t>
      </w:r>
      <w:r w:rsidR="00015CE0">
        <w:rPr>
          <w:rFonts w:ascii="仿宋_GB2312" w:eastAsia="仿宋_GB2312"/>
          <w:szCs w:val="32"/>
          <w:lang w:eastAsia="zh-CN"/>
        </w:rPr>
        <w:t>，</w:t>
      </w:r>
      <w:r w:rsidRPr="00E650B0">
        <w:rPr>
          <w:rFonts w:ascii="仿宋_GB2312" w:eastAsia="仿宋_GB2312"/>
          <w:szCs w:val="32"/>
          <w:lang w:eastAsia="zh-CN"/>
        </w:rPr>
        <w:t>按照《长春市临时改变房屋用途管理办法》</w:t>
      </w:r>
      <w:r w:rsidR="00015CE0">
        <w:rPr>
          <w:rFonts w:ascii="仿宋_GB2312" w:eastAsia="仿宋_GB2312" w:hint="eastAsia"/>
          <w:szCs w:val="32"/>
          <w:lang w:eastAsia="zh-CN"/>
        </w:rPr>
        <w:t>（长府</w:t>
      </w:r>
      <w:r w:rsidR="00015CE0">
        <w:rPr>
          <w:rFonts w:ascii="仿宋_GB2312" w:eastAsia="仿宋_GB2312"/>
          <w:szCs w:val="32"/>
          <w:lang w:eastAsia="zh-CN"/>
        </w:rPr>
        <w:t>办</w:t>
      </w:r>
      <w:proofErr w:type="gramStart"/>
      <w:r w:rsidR="00015CE0">
        <w:rPr>
          <w:rFonts w:ascii="仿宋_GB2312" w:eastAsia="仿宋_GB2312"/>
          <w:szCs w:val="32"/>
          <w:lang w:eastAsia="zh-CN"/>
        </w:rPr>
        <w:t>规</w:t>
      </w:r>
      <w:proofErr w:type="gramEnd"/>
      <w:r w:rsidR="00015CE0" w:rsidRPr="00015CE0">
        <w:rPr>
          <w:rFonts w:ascii="仿宋_GB2312" w:eastAsia="仿宋_GB2312" w:hint="eastAsia"/>
          <w:szCs w:val="32"/>
          <w:lang w:eastAsia="zh-CN"/>
        </w:rPr>
        <w:t>〔</w:t>
      </w:r>
      <w:r w:rsidR="00015CE0">
        <w:rPr>
          <w:rFonts w:ascii="仿宋_GB2312" w:eastAsia="仿宋_GB2312" w:hint="eastAsia"/>
          <w:szCs w:val="32"/>
          <w:lang w:eastAsia="zh-CN"/>
        </w:rPr>
        <w:t>2024</w:t>
      </w:r>
      <w:r w:rsidR="00015CE0" w:rsidRPr="00015CE0">
        <w:rPr>
          <w:rFonts w:ascii="仿宋_GB2312" w:eastAsia="仿宋_GB2312" w:hint="eastAsia"/>
          <w:szCs w:val="32"/>
          <w:lang w:eastAsia="zh-CN"/>
        </w:rPr>
        <w:t>〕</w:t>
      </w:r>
      <w:r w:rsidR="00015CE0">
        <w:rPr>
          <w:rFonts w:ascii="仿宋_GB2312" w:eastAsia="仿宋_GB2312" w:hint="eastAsia"/>
          <w:szCs w:val="32"/>
          <w:lang w:eastAsia="zh-CN"/>
        </w:rPr>
        <w:t>3号）有关</w:t>
      </w:r>
      <w:r w:rsidR="00015CE0">
        <w:rPr>
          <w:rFonts w:ascii="仿宋_GB2312" w:eastAsia="仿宋_GB2312"/>
          <w:szCs w:val="32"/>
          <w:lang w:eastAsia="zh-CN"/>
        </w:rPr>
        <w:t>规定</w:t>
      </w:r>
      <w:r w:rsidRPr="00E650B0">
        <w:rPr>
          <w:rFonts w:ascii="仿宋_GB2312" w:eastAsia="仿宋_GB2312"/>
          <w:szCs w:val="32"/>
          <w:lang w:eastAsia="zh-CN"/>
        </w:rPr>
        <w:t>执行</w:t>
      </w:r>
      <w:r w:rsidR="00FB253B">
        <w:rPr>
          <w:rFonts w:ascii="仿宋_GB2312" w:eastAsia="仿宋_GB2312" w:hint="eastAsia"/>
          <w:szCs w:val="32"/>
          <w:lang w:eastAsia="zh-CN"/>
        </w:rPr>
        <w:t>。</w:t>
      </w:r>
    </w:p>
    <w:p w:rsidR="001D5F1E" w:rsidRDefault="00E72EF5">
      <w:pPr>
        <w:spacing w:after="0" w:line="576" w:lineRule="exact"/>
        <w:ind w:firstLineChars="200" w:firstLine="640"/>
        <w:jc w:val="both"/>
        <w:rPr>
          <w:rFonts w:ascii="黑体" w:eastAsia="黑体" w:hAnsi="黑体" w:cs="黑体"/>
          <w:bCs/>
          <w:lang w:eastAsia="zh-CN"/>
        </w:rPr>
      </w:pPr>
      <w:r>
        <w:rPr>
          <w:rFonts w:ascii="黑体" w:eastAsia="黑体" w:hAnsi="黑体" w:cs="黑体" w:hint="eastAsia"/>
          <w:bCs/>
          <w:lang w:eastAsia="zh-CN"/>
        </w:rPr>
        <w:t>四</w:t>
      </w:r>
      <w:r>
        <w:rPr>
          <w:rFonts w:ascii="黑体" w:eastAsia="黑体" w:hAnsi="黑体" w:cs="黑体"/>
          <w:bCs/>
          <w:lang w:eastAsia="zh-CN"/>
        </w:rPr>
        <w:t>、</w:t>
      </w:r>
      <w:r>
        <w:rPr>
          <w:rFonts w:ascii="黑体" w:eastAsia="黑体" w:hAnsi="黑体" w:cs="黑体" w:hint="eastAsia"/>
          <w:bCs/>
          <w:lang w:eastAsia="zh-CN"/>
        </w:rPr>
        <w:t>运营管理</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szCs w:val="32"/>
          <w:lang w:eastAsia="zh-CN"/>
        </w:rPr>
        <w:t>（一）确定运营方式。</w:t>
      </w:r>
      <w:r>
        <w:rPr>
          <w:rFonts w:ascii="仿宋_GB2312" w:eastAsia="仿宋_GB2312" w:hAnsi="仿宋_GB2312"/>
          <w:lang w:eastAsia="zh-CN"/>
        </w:rPr>
        <w:t>对政府拥有所有权或者使用权、由国有资产投资形成或改建的养老服务设施，可采取公建民营、委托运营、合作运营等方式确定运营方。</w:t>
      </w:r>
      <w:r w:rsidR="00015CE0">
        <w:rPr>
          <w:rFonts w:ascii="仿宋_GB2312" w:eastAsia="仿宋_GB2312" w:hAnsi="仿宋_GB2312" w:hint="eastAsia"/>
          <w:lang w:eastAsia="zh-CN"/>
        </w:rPr>
        <w:t>支持符合</w:t>
      </w:r>
      <w:r w:rsidR="00015CE0">
        <w:rPr>
          <w:rFonts w:ascii="仿宋_GB2312" w:eastAsia="仿宋_GB2312" w:hAnsi="仿宋_GB2312"/>
          <w:lang w:eastAsia="zh-CN"/>
        </w:rPr>
        <w:t>主业功能定位的市、县国有企业承接存量资源改建和</w:t>
      </w:r>
      <w:r w:rsidR="00015CE0">
        <w:rPr>
          <w:rFonts w:ascii="仿宋_GB2312" w:eastAsia="仿宋_GB2312" w:hAnsi="仿宋_GB2312" w:hint="eastAsia"/>
          <w:lang w:eastAsia="zh-CN"/>
        </w:rPr>
        <w:t>运营</w:t>
      </w:r>
      <w:r>
        <w:rPr>
          <w:rFonts w:ascii="仿宋_GB2312" w:eastAsia="仿宋_GB2312" w:hAnsi="仿宋_GB2312"/>
          <w:lang w:eastAsia="zh-CN"/>
        </w:rPr>
        <w:t>，统筹开展资产整合、改造投入、运营管理和风险管控；鼓励其引入具备专业能力的养老机构、养老服务企业、社会组织开展合作运营、连锁化运营。</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szCs w:val="32"/>
          <w:lang w:eastAsia="zh-CN"/>
        </w:rPr>
        <w:t>（二）规范选取程序。</w:t>
      </w:r>
      <w:r w:rsidR="00B13ABE" w:rsidRPr="00B13ABE">
        <w:rPr>
          <w:rFonts w:ascii="仿宋_GB2312" w:eastAsia="仿宋_GB2312" w:hAnsi="仿宋_GB2312" w:hint="eastAsia"/>
          <w:lang w:eastAsia="zh-CN"/>
        </w:rPr>
        <w:t>县（市）区、开发区民政部门</w:t>
      </w:r>
      <w:r>
        <w:rPr>
          <w:rFonts w:ascii="仿宋_GB2312" w:eastAsia="仿宋_GB2312" w:hAnsi="仿宋_GB2312"/>
          <w:lang w:eastAsia="zh-CN"/>
        </w:rPr>
        <w:t>应指导产权方或委托方按照公开、公平、公正、择优原则，</w:t>
      </w:r>
      <w:r>
        <w:rPr>
          <w:rFonts w:ascii="仿宋_GB2312" w:eastAsia="仿宋_GB2312" w:hAnsi="仿宋_GB2312"/>
          <w:lang w:eastAsia="zh-CN"/>
        </w:rPr>
        <w:lastRenderedPageBreak/>
        <w:t>通过公开招标、竞争性磋商、竞争性谈判等方式确定运营方；确需采用其他方式的，应当依法依规履行决策程序，并向社会公开项目概况、运营条件、合作期限、服务定位、收费要求、兜底保障床位安排等核心信息，组织养老服务、财务、法律、国有资产管理等领域专家论证。</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szCs w:val="32"/>
          <w:lang w:eastAsia="zh-CN"/>
        </w:rPr>
        <w:t>（三）明确运营方条件。</w:t>
      </w:r>
      <w:r>
        <w:rPr>
          <w:rFonts w:ascii="仿宋_GB2312" w:eastAsia="仿宋_GB2312" w:hAnsi="仿宋_GB2312"/>
          <w:lang w:eastAsia="zh-CN"/>
        </w:rPr>
        <w:t>运营方应当具备独立承担民事责任能力，经营范围或宗旨应当以养老服务为主，具有养老服务管理经验、专业管理服务团队和与项目规模相适应的资金实力，三年内无重大违法违规和失信记录。具备</w:t>
      </w:r>
      <w:proofErr w:type="gramStart"/>
      <w:r>
        <w:rPr>
          <w:rFonts w:ascii="仿宋_GB2312" w:eastAsia="仿宋_GB2312" w:hAnsi="仿宋_GB2312"/>
          <w:lang w:eastAsia="zh-CN"/>
        </w:rPr>
        <w:t>医</w:t>
      </w:r>
      <w:proofErr w:type="gramEnd"/>
      <w:r>
        <w:rPr>
          <w:rFonts w:ascii="仿宋_GB2312" w:eastAsia="仿宋_GB2312" w:hAnsi="仿宋_GB2312"/>
          <w:lang w:eastAsia="zh-CN"/>
        </w:rPr>
        <w:t>养结合、连锁运营、认知障碍照护、失能照护等服务经验的，在同等条件下可优先选取。</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szCs w:val="32"/>
          <w:lang w:eastAsia="zh-CN"/>
        </w:rPr>
        <w:t>（四）强化合同管理。</w:t>
      </w:r>
      <w:r>
        <w:rPr>
          <w:rFonts w:ascii="仿宋_GB2312" w:eastAsia="仿宋_GB2312" w:hAnsi="仿宋_GB2312"/>
          <w:lang w:eastAsia="zh-CN"/>
        </w:rPr>
        <w:t>产权方或委托方应与运营方签订运营合同；涉及国有资产、兜底保障和行业监管事项的，可由民政部门或相关国有资产监管主体作为监管方签订三方协议。合同应明确设施状况、服务内容和质量标准、基本养老服务保障对象安排、双方投入资产、费用和补贴、国有资产保护、风险保证金、合作期限、移交安排、监管考核、违约责任和退出机制等事项。</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szCs w:val="32"/>
          <w:lang w:eastAsia="zh-CN"/>
        </w:rPr>
        <w:t>（五）合理确定合作期限。</w:t>
      </w:r>
      <w:r>
        <w:rPr>
          <w:rFonts w:ascii="仿宋_GB2312" w:eastAsia="仿宋_GB2312" w:hAnsi="仿宋_GB2312"/>
          <w:lang w:eastAsia="zh-CN"/>
        </w:rPr>
        <w:t>合作期限应当综合项目规模、改建投入、运营成本、投资回收周期、服务稳定性等因素合理确定。为稳定养老服务供给、调动社会力量参与积极性，对改建投入较大、持续运营需求较强的项目，合作期限可适当延长，最长不超过20年。合同期满运营情况</w:t>
      </w:r>
      <w:r>
        <w:rPr>
          <w:rFonts w:ascii="仿宋_GB2312" w:eastAsia="仿宋_GB2312" w:hAnsi="仿宋_GB2312"/>
          <w:lang w:eastAsia="zh-CN"/>
        </w:rPr>
        <w:lastRenderedPageBreak/>
        <w:t>良好、社会满意度高且有继续运营意愿的，在依法依规前提下可按规定续签或在同等条件下优先合作。</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szCs w:val="32"/>
          <w:lang w:eastAsia="zh-CN"/>
        </w:rPr>
        <w:t>（六）加强运营监管。</w:t>
      </w:r>
      <w:r w:rsidR="00842C22" w:rsidRPr="00842C22">
        <w:rPr>
          <w:rFonts w:ascii="仿宋_GB2312" w:eastAsia="仿宋_GB2312" w:hAnsi="仿宋_GB2312" w:hint="eastAsia"/>
          <w:lang w:eastAsia="zh-CN"/>
        </w:rPr>
        <w:t>县（市）区、开发区民政部门</w:t>
      </w:r>
      <w:r>
        <w:rPr>
          <w:rFonts w:ascii="仿宋_GB2312" w:eastAsia="仿宋_GB2312" w:hAnsi="仿宋_GB2312"/>
          <w:lang w:eastAsia="zh-CN"/>
        </w:rPr>
        <w:t>会同有关部门对运营</w:t>
      </w:r>
      <w:proofErr w:type="gramStart"/>
      <w:r>
        <w:rPr>
          <w:rFonts w:ascii="仿宋_GB2312" w:eastAsia="仿宋_GB2312" w:hAnsi="仿宋_GB2312"/>
          <w:lang w:eastAsia="zh-CN"/>
        </w:rPr>
        <w:t>方设施</w:t>
      </w:r>
      <w:proofErr w:type="gramEnd"/>
      <w:r>
        <w:rPr>
          <w:rFonts w:ascii="仿宋_GB2312" w:eastAsia="仿宋_GB2312" w:hAnsi="仿宋_GB2312"/>
          <w:lang w:eastAsia="zh-CN"/>
        </w:rPr>
        <w:t>使用、国有资产安全、服务质量、收费管理、兜底保障对象服务、财政补贴使用等情况开展日常监管和年度评估。运营方不得擅自改变设施用途，不得转让、转包运营权，不得以国有资产抵押、融资、贷款；发生重大安全事故、严重侵害老年人权益等情形的，依法依约解除合同并做好老年人安置和资产移交。</w:t>
      </w:r>
    </w:p>
    <w:p w:rsidR="001D5F1E" w:rsidRDefault="00E72EF5">
      <w:pPr>
        <w:spacing w:after="0" w:line="576" w:lineRule="exact"/>
        <w:ind w:firstLineChars="200" w:firstLine="640"/>
        <w:jc w:val="both"/>
        <w:rPr>
          <w:rFonts w:ascii="黑体" w:eastAsia="黑体" w:hAnsi="黑体" w:cs="黑体"/>
          <w:bCs/>
          <w:lang w:eastAsia="zh-CN"/>
        </w:rPr>
      </w:pPr>
      <w:r>
        <w:rPr>
          <w:rFonts w:ascii="黑体" w:eastAsia="黑体" w:hAnsi="黑体" w:cs="黑体" w:hint="eastAsia"/>
          <w:bCs/>
          <w:lang w:eastAsia="zh-CN"/>
        </w:rPr>
        <w:t>五</w:t>
      </w:r>
      <w:r>
        <w:rPr>
          <w:rFonts w:ascii="黑体" w:eastAsia="黑体" w:hAnsi="黑体" w:cs="黑体"/>
          <w:bCs/>
          <w:lang w:eastAsia="zh-CN"/>
        </w:rPr>
        <w:t>、扶持政策</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（一）用地支持。</w:t>
      </w:r>
      <w:r w:rsidR="00477B94" w:rsidRPr="00477B94">
        <w:rPr>
          <w:rFonts w:ascii="仿宋_GB2312" w:eastAsia="仿宋_GB2312" w:hint="eastAsia"/>
          <w:szCs w:val="32"/>
          <w:lang w:eastAsia="zh-CN"/>
        </w:rPr>
        <w:t>利用商业、办公、工业、仓储存量房屋等</w:t>
      </w:r>
      <w:r w:rsidR="00477B94">
        <w:rPr>
          <w:rFonts w:ascii="仿宋_GB2312" w:eastAsia="仿宋_GB2312" w:hint="eastAsia"/>
          <w:szCs w:val="32"/>
          <w:lang w:eastAsia="zh-CN"/>
        </w:rPr>
        <w:t>改建</w:t>
      </w:r>
      <w:r w:rsidR="00477B94" w:rsidRPr="00477B94">
        <w:rPr>
          <w:rFonts w:ascii="仿宋_GB2312" w:eastAsia="仿宋_GB2312" w:hint="eastAsia"/>
          <w:szCs w:val="32"/>
          <w:lang w:eastAsia="zh-CN"/>
        </w:rPr>
        <w:t>养老机构，依据《长春市临时改变房屋用途管理办法》相关规定执行。符合国家过渡期政策的，可适用最高五年的过渡期，过渡期内不需缴纳土地价款。过渡期满及涉及转让需办理改变用地主体手续的，新用地主体为非营利性的，原划拨土地可继续以划拨方式使用，新用地主体为营利性的，可以按新用途、</w:t>
      </w:r>
      <w:proofErr w:type="gramStart"/>
      <w:r w:rsidR="00477B94" w:rsidRPr="00477B94">
        <w:rPr>
          <w:rFonts w:ascii="仿宋_GB2312" w:eastAsia="仿宋_GB2312" w:hint="eastAsia"/>
          <w:szCs w:val="32"/>
          <w:lang w:eastAsia="zh-CN"/>
        </w:rPr>
        <w:t>新权利</w:t>
      </w:r>
      <w:proofErr w:type="gramEnd"/>
      <w:r w:rsidR="00477B94" w:rsidRPr="00477B94">
        <w:rPr>
          <w:rFonts w:ascii="仿宋_GB2312" w:eastAsia="仿宋_GB2312" w:hint="eastAsia"/>
          <w:szCs w:val="32"/>
          <w:lang w:eastAsia="zh-CN"/>
        </w:rPr>
        <w:t>类型、市场价格，以协议方式办理，但有偿使用合同和划拨决定书以及法律法规等明确应当回收土地使用权的情形除外。</w:t>
      </w:r>
    </w:p>
    <w:p w:rsidR="001D5F1E" w:rsidRDefault="00E72EF5" w:rsidP="00706023">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（二）财政补贴。</w:t>
      </w:r>
      <w:r w:rsidR="007855BE">
        <w:rPr>
          <w:rFonts w:ascii="仿宋_GB2312" w:eastAsia="仿宋_GB2312" w:hint="eastAsia"/>
          <w:szCs w:val="32"/>
          <w:lang w:eastAsia="zh-CN"/>
        </w:rPr>
        <w:t>利用存量资源改建的养老机构，经认定符合条件的，可享受综合运营补贴、困难老人入住机构补贴</w:t>
      </w:r>
      <w:bookmarkStart w:id="0" w:name="OLE_LINK35"/>
      <w:bookmarkStart w:id="1" w:name="OLE_LINK36"/>
      <w:r w:rsidR="007855BE">
        <w:rPr>
          <w:rFonts w:ascii="仿宋_GB2312" w:eastAsia="仿宋_GB2312" w:hint="eastAsia"/>
          <w:szCs w:val="32"/>
          <w:lang w:eastAsia="zh-CN"/>
        </w:rPr>
        <w:t>等补贴政策。</w:t>
      </w:r>
      <w:bookmarkEnd w:id="0"/>
      <w:bookmarkEnd w:id="1"/>
      <w:r w:rsidR="008B2773" w:rsidRPr="008B2773">
        <w:rPr>
          <w:rFonts w:ascii="仿宋_GB2312" w:eastAsia="仿宋_GB2312" w:hint="eastAsia"/>
          <w:szCs w:val="32"/>
          <w:lang w:eastAsia="zh-CN"/>
        </w:rPr>
        <w:t>对利用党政机关、国有企事业单位闲置用房及社区居家养老服务用房、社区闲置用房等国有房屋改建为综合嵌入式社区居家养老服务中心项目，敬老餐</w:t>
      </w:r>
      <w:r w:rsidR="008B2773" w:rsidRPr="008B2773">
        <w:rPr>
          <w:rFonts w:ascii="仿宋_GB2312" w:eastAsia="仿宋_GB2312" w:hint="eastAsia"/>
          <w:szCs w:val="32"/>
          <w:lang w:eastAsia="zh-CN"/>
        </w:rPr>
        <w:lastRenderedPageBreak/>
        <w:t>厅建设及运营项目，</w:t>
      </w:r>
      <w:r w:rsidR="00285997">
        <w:rPr>
          <w:rFonts w:ascii="仿宋_GB2312" w:eastAsia="仿宋_GB2312" w:hint="eastAsia"/>
          <w:szCs w:val="32"/>
          <w:lang w:eastAsia="zh-CN"/>
        </w:rPr>
        <w:t>统筹安排中央、</w:t>
      </w:r>
      <w:r w:rsidR="008B2773" w:rsidRPr="008B2773">
        <w:rPr>
          <w:rFonts w:ascii="仿宋_GB2312" w:eastAsia="仿宋_GB2312" w:hint="eastAsia"/>
          <w:szCs w:val="32"/>
          <w:lang w:eastAsia="zh-CN"/>
        </w:rPr>
        <w:t>省</w:t>
      </w:r>
      <w:r w:rsidR="00285997">
        <w:rPr>
          <w:rFonts w:ascii="仿宋_GB2312" w:eastAsia="仿宋_GB2312" w:hint="eastAsia"/>
          <w:szCs w:val="32"/>
          <w:lang w:eastAsia="zh-CN"/>
        </w:rPr>
        <w:t>、市</w:t>
      </w:r>
      <w:r w:rsidR="008B2773" w:rsidRPr="008B2773">
        <w:rPr>
          <w:rFonts w:ascii="仿宋_GB2312" w:eastAsia="仿宋_GB2312" w:hint="eastAsia"/>
          <w:szCs w:val="32"/>
          <w:lang w:eastAsia="zh-CN"/>
        </w:rPr>
        <w:t>福彩支持社会福利事业资金</w:t>
      </w:r>
      <w:r w:rsidR="00775D6E">
        <w:rPr>
          <w:rFonts w:ascii="仿宋_GB2312" w:eastAsia="仿宋_GB2312" w:hint="eastAsia"/>
          <w:szCs w:val="32"/>
          <w:lang w:eastAsia="zh-CN"/>
        </w:rPr>
        <w:t>及</w:t>
      </w:r>
      <w:bookmarkStart w:id="2" w:name="_GoBack"/>
      <w:bookmarkEnd w:id="2"/>
      <w:r w:rsidR="008B2773" w:rsidRPr="008B2773">
        <w:rPr>
          <w:rFonts w:ascii="仿宋_GB2312" w:eastAsia="仿宋_GB2312" w:hint="eastAsia"/>
          <w:szCs w:val="32"/>
          <w:lang w:eastAsia="zh-CN"/>
        </w:rPr>
        <w:t>养老服务高质量发展专项资金</w:t>
      </w:r>
      <w:r w:rsidR="00285997">
        <w:rPr>
          <w:rFonts w:ascii="仿宋_GB2312" w:eastAsia="仿宋_GB2312" w:hint="eastAsia"/>
          <w:szCs w:val="32"/>
          <w:lang w:eastAsia="zh-CN"/>
        </w:rPr>
        <w:t>等资金予以</w:t>
      </w:r>
      <w:r w:rsidR="008B2773" w:rsidRPr="008B2773">
        <w:rPr>
          <w:rFonts w:ascii="仿宋_GB2312" w:eastAsia="仿宋_GB2312" w:hint="eastAsia"/>
          <w:szCs w:val="32"/>
          <w:lang w:eastAsia="zh-CN"/>
        </w:rPr>
        <w:t>奖补。</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（三）税费优惠。</w:t>
      </w:r>
      <w:r>
        <w:rPr>
          <w:rFonts w:ascii="仿宋_GB2312" w:eastAsia="仿宋_GB2312" w:hint="eastAsia"/>
          <w:szCs w:val="32"/>
          <w:lang w:eastAsia="zh-CN"/>
        </w:rPr>
        <w:t>利用存量资源兴办的养老服务设施，按规定享受税费减免</w:t>
      </w:r>
      <w:r w:rsidR="00477B94">
        <w:rPr>
          <w:rFonts w:ascii="仿宋_GB2312" w:eastAsia="仿宋_GB2312" w:hint="eastAsia"/>
          <w:szCs w:val="32"/>
          <w:lang w:eastAsia="zh-CN"/>
        </w:rPr>
        <w:t>。</w:t>
      </w:r>
      <w:r w:rsidR="00477B94" w:rsidRPr="00477B94">
        <w:rPr>
          <w:rFonts w:ascii="仿宋_GB2312" w:eastAsia="仿宋_GB2312" w:hint="eastAsia"/>
          <w:szCs w:val="32"/>
          <w:lang w:eastAsia="zh-CN"/>
        </w:rPr>
        <w:t>符合条件的养老机构提供的养老服</w:t>
      </w:r>
      <w:r w:rsidR="00477B94">
        <w:rPr>
          <w:rFonts w:ascii="仿宋_GB2312" w:eastAsia="仿宋_GB2312" w:hint="eastAsia"/>
          <w:szCs w:val="32"/>
          <w:lang w:eastAsia="zh-CN"/>
        </w:rPr>
        <w:t>务免征增值税</w:t>
      </w:r>
      <w:r>
        <w:rPr>
          <w:rFonts w:ascii="仿宋_GB2312" w:eastAsia="仿宋_GB2312" w:hint="eastAsia"/>
          <w:szCs w:val="32"/>
          <w:lang w:eastAsia="zh-CN"/>
        </w:rPr>
        <w:t>；符合条件的非营利性养老机构，其自用土地和房屋免征城镇土地使用税和房产税。</w:t>
      </w:r>
    </w:p>
    <w:p w:rsidR="00477B94"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（四）水电气价格。</w:t>
      </w:r>
      <w:r w:rsidR="00477B94" w:rsidRPr="00477B94">
        <w:rPr>
          <w:rFonts w:ascii="仿宋_GB2312" w:eastAsia="仿宋_GB2312" w:hint="eastAsia"/>
          <w:szCs w:val="32"/>
          <w:lang w:eastAsia="zh-CN"/>
        </w:rPr>
        <w:t>对符合条件的养老机构、居家养老服务机构，按规定落实税费优惠政策，用水、用电、用气、用热按规定执行居民生活类价格</w:t>
      </w:r>
      <w:r w:rsidR="0090143C">
        <w:rPr>
          <w:rFonts w:ascii="仿宋_GB2312" w:eastAsia="仿宋_GB2312" w:hint="eastAsia"/>
          <w:szCs w:val="32"/>
          <w:lang w:eastAsia="zh-CN"/>
        </w:rPr>
        <w:t>，</w:t>
      </w:r>
      <w:r w:rsidR="00477B94" w:rsidRPr="00477B94">
        <w:rPr>
          <w:rFonts w:ascii="仿宋_GB2312" w:eastAsia="仿宋_GB2312" w:hint="eastAsia"/>
          <w:szCs w:val="32"/>
          <w:lang w:eastAsia="zh-CN"/>
        </w:rPr>
        <w:t>免收固定电话、有线（数字）电视、宽带互联网一次性接入费用，使用有线（数字）电视、宽带互联网按居民用户的</w:t>
      </w:r>
      <w:r w:rsidR="00477B94" w:rsidRPr="00477B94">
        <w:rPr>
          <w:rFonts w:ascii="仿宋_GB2312" w:eastAsia="仿宋_GB2312"/>
          <w:szCs w:val="32"/>
          <w:lang w:eastAsia="zh-CN"/>
        </w:rPr>
        <w:t>70%收取。</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（五）金融支持。</w:t>
      </w:r>
      <w:r>
        <w:rPr>
          <w:rFonts w:ascii="仿宋_GB2312" w:eastAsia="仿宋_GB2312" w:hint="eastAsia"/>
          <w:szCs w:val="32"/>
          <w:lang w:eastAsia="zh-CN"/>
        </w:rPr>
        <w:t>积极争取中央预算内</w:t>
      </w:r>
      <w:r w:rsidR="00E05151">
        <w:rPr>
          <w:rFonts w:ascii="仿宋_GB2312" w:eastAsia="仿宋_GB2312" w:hint="eastAsia"/>
          <w:szCs w:val="32"/>
          <w:lang w:eastAsia="zh-CN"/>
        </w:rPr>
        <w:t>资金</w:t>
      </w:r>
      <w:r>
        <w:rPr>
          <w:rFonts w:ascii="仿宋_GB2312" w:eastAsia="仿宋_GB2312" w:hint="eastAsia"/>
          <w:szCs w:val="32"/>
          <w:lang w:eastAsia="zh-CN"/>
        </w:rPr>
        <w:t>、</w:t>
      </w:r>
      <w:r w:rsidR="00E05151">
        <w:rPr>
          <w:rFonts w:ascii="仿宋_GB2312" w:eastAsia="仿宋_GB2312" w:hint="eastAsia"/>
          <w:szCs w:val="32"/>
          <w:lang w:eastAsia="zh-CN"/>
        </w:rPr>
        <w:t>超</w:t>
      </w:r>
      <w:r>
        <w:rPr>
          <w:rFonts w:ascii="仿宋_GB2312" w:eastAsia="仿宋_GB2312" w:hint="eastAsia"/>
          <w:szCs w:val="32"/>
          <w:lang w:eastAsia="zh-CN"/>
        </w:rPr>
        <w:t>长期国债</w:t>
      </w:r>
      <w:r w:rsidR="00E05151">
        <w:rPr>
          <w:rFonts w:ascii="仿宋_GB2312" w:eastAsia="仿宋_GB2312" w:hint="eastAsia"/>
          <w:szCs w:val="32"/>
          <w:lang w:eastAsia="zh-CN"/>
        </w:rPr>
        <w:t>资金</w:t>
      </w:r>
      <w:r w:rsidR="00E05151">
        <w:rPr>
          <w:rFonts w:ascii="仿宋_GB2312" w:eastAsia="仿宋_GB2312"/>
          <w:szCs w:val="32"/>
          <w:lang w:eastAsia="zh-CN"/>
        </w:rPr>
        <w:t>以及</w:t>
      </w:r>
      <w:r>
        <w:rPr>
          <w:rFonts w:ascii="仿宋_GB2312" w:eastAsia="仿宋_GB2312" w:hint="eastAsia"/>
          <w:szCs w:val="32"/>
          <w:lang w:eastAsia="zh-CN"/>
        </w:rPr>
        <w:t>专项债券资金支持</w:t>
      </w:r>
      <w:r w:rsidR="00E05151">
        <w:rPr>
          <w:rFonts w:ascii="仿宋_GB2312" w:eastAsia="仿宋_GB2312" w:hint="eastAsia"/>
          <w:szCs w:val="32"/>
          <w:lang w:eastAsia="zh-CN"/>
        </w:rPr>
        <w:t>项目</w:t>
      </w:r>
      <w:r w:rsidR="00E05151">
        <w:rPr>
          <w:rFonts w:ascii="仿宋_GB2312" w:eastAsia="仿宋_GB2312"/>
          <w:szCs w:val="32"/>
          <w:lang w:eastAsia="zh-CN"/>
        </w:rPr>
        <w:t>建设</w:t>
      </w:r>
      <w:r>
        <w:rPr>
          <w:rFonts w:ascii="仿宋_GB2312" w:eastAsia="仿宋_GB2312" w:hint="eastAsia"/>
          <w:szCs w:val="32"/>
          <w:lang w:eastAsia="zh-CN"/>
        </w:rPr>
        <w:t>。鼓励商业银行加大对养老服务企业的信贷支持力度，支持发展成熟的优质养老服务企业拓展直接融资渠道。</w:t>
      </w:r>
    </w:p>
    <w:p w:rsidR="001D5F1E" w:rsidRDefault="00E72EF5">
      <w:pPr>
        <w:spacing w:after="0" w:line="576" w:lineRule="exact"/>
        <w:ind w:firstLineChars="200" w:firstLine="640"/>
        <w:jc w:val="both"/>
        <w:rPr>
          <w:rFonts w:ascii="黑体" w:eastAsia="黑体" w:hAnsi="黑体" w:cs="黑体"/>
          <w:bCs/>
          <w:lang w:eastAsia="zh-CN"/>
        </w:rPr>
      </w:pPr>
      <w:r>
        <w:rPr>
          <w:rFonts w:ascii="黑体" w:eastAsia="黑体" w:hAnsi="黑体" w:cs="黑体" w:hint="eastAsia"/>
          <w:bCs/>
          <w:lang w:eastAsia="zh-CN"/>
        </w:rPr>
        <w:t>六</w:t>
      </w:r>
      <w:r>
        <w:rPr>
          <w:rFonts w:ascii="黑体" w:eastAsia="黑体" w:hAnsi="黑体" w:cs="黑体"/>
          <w:bCs/>
          <w:lang w:eastAsia="zh-CN"/>
        </w:rPr>
        <w:t>、监督管理</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（一）</w:t>
      </w:r>
      <w:proofErr w:type="gramStart"/>
      <w:r>
        <w:rPr>
          <w:rFonts w:ascii="楷体_GB2312" w:eastAsia="楷体_GB2312" w:hint="eastAsia"/>
          <w:szCs w:val="32"/>
          <w:lang w:eastAsia="zh-CN"/>
        </w:rPr>
        <w:t>明确部门</w:t>
      </w:r>
      <w:proofErr w:type="gramEnd"/>
      <w:r>
        <w:rPr>
          <w:rFonts w:ascii="楷体_GB2312" w:eastAsia="楷体_GB2312" w:hint="eastAsia"/>
          <w:szCs w:val="32"/>
          <w:lang w:eastAsia="zh-CN"/>
        </w:rPr>
        <w:t>职责。</w:t>
      </w:r>
      <w:r>
        <w:rPr>
          <w:rFonts w:ascii="仿宋_GB2312" w:eastAsia="仿宋_GB2312" w:hint="eastAsia"/>
          <w:szCs w:val="32"/>
          <w:lang w:eastAsia="zh-CN"/>
        </w:rPr>
        <w:t>各有关部门按照以下职责做好存量资源改建养老服务设施相关工作：民政部门负责项目汇总、协调服务、验收备案及养老机构备案证书核发；</w:t>
      </w:r>
      <w:r w:rsidR="00BF6534" w:rsidRPr="00BF6534">
        <w:rPr>
          <w:rFonts w:ascii="仿宋_GB2312" w:eastAsia="仿宋_GB2312" w:hint="eastAsia"/>
          <w:szCs w:val="32"/>
          <w:lang w:eastAsia="zh-CN"/>
        </w:rPr>
        <w:t>机关事务管理部门负责党政机关、事业单位闲置资产的摸排登记和盘活利用，配合做好资产权属确认和使用权划转</w:t>
      </w:r>
      <w:r w:rsidR="00BF6534">
        <w:rPr>
          <w:rFonts w:ascii="仿宋_GB2312" w:eastAsia="仿宋_GB2312" w:hint="eastAsia"/>
          <w:szCs w:val="32"/>
          <w:lang w:eastAsia="zh-CN"/>
        </w:rPr>
        <w:t>；</w:t>
      </w:r>
      <w:r>
        <w:rPr>
          <w:rFonts w:ascii="仿宋_GB2312" w:eastAsia="仿宋_GB2312" w:hint="eastAsia"/>
          <w:szCs w:val="32"/>
          <w:lang w:eastAsia="zh-CN"/>
        </w:rPr>
        <w:t>发展和改革部门</w:t>
      </w:r>
      <w:r w:rsidR="00E05151">
        <w:rPr>
          <w:rFonts w:ascii="仿宋_GB2312" w:eastAsia="仿宋_GB2312" w:hint="eastAsia"/>
          <w:szCs w:val="32"/>
          <w:lang w:eastAsia="zh-CN"/>
        </w:rPr>
        <w:t>依规履行</w:t>
      </w:r>
      <w:r w:rsidR="00E05151">
        <w:rPr>
          <w:rFonts w:ascii="仿宋_GB2312" w:eastAsia="仿宋_GB2312"/>
          <w:szCs w:val="32"/>
          <w:lang w:eastAsia="zh-CN"/>
        </w:rPr>
        <w:t>项目基本建设程序，积极争取中央预算内资金、超</w:t>
      </w:r>
      <w:r w:rsidR="00E05151">
        <w:rPr>
          <w:rFonts w:ascii="仿宋_GB2312" w:eastAsia="仿宋_GB2312" w:hint="eastAsia"/>
          <w:szCs w:val="32"/>
          <w:lang w:eastAsia="zh-CN"/>
        </w:rPr>
        <w:t>长期</w:t>
      </w:r>
      <w:r w:rsidR="00E05151">
        <w:rPr>
          <w:rFonts w:ascii="仿宋_GB2312" w:eastAsia="仿宋_GB2312"/>
          <w:szCs w:val="32"/>
          <w:lang w:eastAsia="zh-CN"/>
        </w:rPr>
        <w:t>国债资金以及</w:t>
      </w:r>
      <w:r w:rsidR="00E05151">
        <w:rPr>
          <w:rFonts w:ascii="仿宋_GB2312" w:eastAsia="仿宋_GB2312" w:hint="eastAsia"/>
          <w:szCs w:val="32"/>
          <w:lang w:eastAsia="zh-CN"/>
        </w:rPr>
        <w:t>专项</w:t>
      </w:r>
      <w:r w:rsidR="00E05151">
        <w:rPr>
          <w:rFonts w:ascii="仿宋_GB2312" w:eastAsia="仿宋_GB2312"/>
          <w:szCs w:val="32"/>
          <w:lang w:eastAsia="zh-CN"/>
        </w:rPr>
        <w:t>债券资金，支持</w:t>
      </w:r>
      <w:r w:rsidR="00E05151">
        <w:rPr>
          <w:rFonts w:ascii="仿宋_GB2312" w:eastAsia="仿宋_GB2312"/>
          <w:szCs w:val="32"/>
          <w:lang w:eastAsia="zh-CN"/>
        </w:rPr>
        <w:lastRenderedPageBreak/>
        <w:t>养老领域项目建设</w:t>
      </w:r>
      <w:r>
        <w:rPr>
          <w:rFonts w:ascii="仿宋_GB2312" w:eastAsia="仿宋_GB2312" w:hint="eastAsia"/>
          <w:szCs w:val="32"/>
          <w:lang w:eastAsia="zh-CN"/>
        </w:rPr>
        <w:t>；</w:t>
      </w:r>
      <w:r w:rsidR="00C109FC" w:rsidRPr="00F17AF5">
        <w:rPr>
          <w:rFonts w:ascii="仿宋_GB2312" w:eastAsia="仿宋_GB2312" w:hint="eastAsia"/>
          <w:szCs w:val="32"/>
          <w:lang w:eastAsia="zh-CN"/>
        </w:rPr>
        <w:t>国资</w:t>
      </w:r>
      <w:r w:rsidR="00C109FC" w:rsidRPr="00F17AF5">
        <w:rPr>
          <w:rFonts w:ascii="仿宋_GB2312" w:eastAsia="仿宋_GB2312"/>
          <w:szCs w:val="32"/>
          <w:lang w:eastAsia="zh-CN"/>
        </w:rPr>
        <w:t>监管部门负责推动所监管国有企业利用闲置资产积极参与改建养老服务设施有关工作</w:t>
      </w:r>
      <w:r w:rsidR="00C109FC" w:rsidRPr="00F17AF5">
        <w:rPr>
          <w:rFonts w:ascii="仿宋_GB2312" w:eastAsia="仿宋_GB2312" w:hint="eastAsia"/>
          <w:szCs w:val="32"/>
          <w:lang w:eastAsia="zh-CN"/>
        </w:rPr>
        <w:t>；</w:t>
      </w:r>
      <w:r>
        <w:rPr>
          <w:rFonts w:ascii="仿宋_GB2312" w:eastAsia="仿宋_GB2312" w:hint="eastAsia"/>
          <w:szCs w:val="32"/>
          <w:lang w:eastAsia="zh-CN"/>
        </w:rPr>
        <w:t>规划和自然资源部门负责规划审查、用地手续办理；</w:t>
      </w:r>
      <w:r w:rsidR="009D6232">
        <w:rPr>
          <w:rFonts w:ascii="仿宋_GB2312" w:eastAsia="仿宋_GB2312" w:hint="eastAsia"/>
          <w:szCs w:val="32"/>
          <w:lang w:eastAsia="zh-CN"/>
        </w:rPr>
        <w:t>城乡建设部门负责施工图审查、消防设计审查及验收</w:t>
      </w:r>
      <w:r>
        <w:rPr>
          <w:rFonts w:ascii="仿宋_GB2312" w:eastAsia="仿宋_GB2312" w:hint="eastAsia"/>
          <w:szCs w:val="32"/>
          <w:lang w:eastAsia="zh-CN"/>
        </w:rPr>
        <w:t>；</w:t>
      </w:r>
      <w:r w:rsidR="00596AFF">
        <w:rPr>
          <w:rFonts w:ascii="仿宋_GB2312" w:eastAsia="仿宋_GB2312" w:hint="eastAsia"/>
          <w:szCs w:val="32"/>
          <w:lang w:eastAsia="zh-CN"/>
        </w:rPr>
        <w:t>房管部门</w:t>
      </w:r>
      <w:r w:rsidR="00596AFF">
        <w:rPr>
          <w:rFonts w:ascii="仿宋_GB2312" w:eastAsia="仿宋_GB2312"/>
          <w:szCs w:val="32"/>
          <w:lang w:eastAsia="zh-CN"/>
        </w:rPr>
        <w:t>负责既有建筑安全性</w:t>
      </w:r>
      <w:r w:rsidR="00596AFF">
        <w:rPr>
          <w:rFonts w:ascii="仿宋_GB2312" w:eastAsia="仿宋_GB2312" w:hint="eastAsia"/>
          <w:szCs w:val="32"/>
          <w:lang w:eastAsia="zh-CN"/>
        </w:rPr>
        <w:t>评估</w:t>
      </w:r>
      <w:r w:rsidR="00596AFF">
        <w:rPr>
          <w:rFonts w:ascii="仿宋_GB2312" w:eastAsia="仿宋_GB2312"/>
          <w:szCs w:val="32"/>
          <w:lang w:eastAsia="zh-CN"/>
        </w:rPr>
        <w:t>鉴定；</w:t>
      </w:r>
      <w:r w:rsidR="00A83FF4">
        <w:rPr>
          <w:rFonts w:ascii="仿宋_GB2312" w:eastAsia="仿宋_GB2312" w:hint="eastAsia"/>
          <w:szCs w:val="32"/>
          <w:lang w:eastAsia="zh-CN"/>
        </w:rPr>
        <w:t>生态环境部门负责</w:t>
      </w:r>
      <w:r w:rsidR="005B4F03" w:rsidRPr="005B4F03">
        <w:rPr>
          <w:rFonts w:ascii="仿宋_GB2312" w:eastAsia="仿宋_GB2312" w:hint="eastAsia"/>
          <w:szCs w:val="32"/>
          <w:lang w:eastAsia="zh-CN"/>
        </w:rPr>
        <w:t>审查项目用地是否依法开展过土壤污染状况调查，调查结果是否符合用地要求</w:t>
      </w:r>
      <w:r w:rsidR="00A83FF4">
        <w:rPr>
          <w:rFonts w:ascii="仿宋_GB2312" w:eastAsia="仿宋_GB2312" w:hint="eastAsia"/>
          <w:szCs w:val="32"/>
          <w:lang w:eastAsia="zh-CN"/>
        </w:rPr>
        <w:t>；</w:t>
      </w:r>
      <w:r>
        <w:rPr>
          <w:rFonts w:ascii="仿宋_GB2312" w:eastAsia="仿宋_GB2312" w:hint="eastAsia"/>
          <w:szCs w:val="32"/>
          <w:lang w:eastAsia="zh-CN"/>
        </w:rPr>
        <w:t>财政部门负责支持政策资金保障和资金监管。</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（二）加强备案管理。</w:t>
      </w:r>
      <w:r>
        <w:rPr>
          <w:rFonts w:ascii="仿宋_GB2312" w:eastAsia="仿宋_GB2312" w:hint="eastAsia"/>
          <w:szCs w:val="32"/>
          <w:lang w:eastAsia="zh-CN"/>
        </w:rPr>
        <w:t>存量资源改建为养老机构的，民政部门在竣工验收后依规核发养老机构备案证书。改建为养老配套医疗卫生机构的，卫生健康部门按规定核发医疗机构执业许可证或予以备案。在符合相关规定的情况下，养老服务机构更换经营主体无须重新办理消防审验。</w:t>
      </w:r>
    </w:p>
    <w:p w:rsidR="001D5F1E" w:rsidRDefault="00E72EF5">
      <w:pPr>
        <w:spacing w:after="0" w:line="576" w:lineRule="exact"/>
        <w:ind w:firstLineChars="200" w:firstLine="640"/>
        <w:jc w:val="both"/>
        <w:rPr>
          <w:rFonts w:ascii="仿宋_GB2312" w:eastAsia="仿宋_GB2312"/>
          <w:szCs w:val="32"/>
          <w:lang w:eastAsia="zh-CN"/>
        </w:rPr>
      </w:pPr>
      <w:r>
        <w:rPr>
          <w:rFonts w:ascii="楷体_GB2312" w:eastAsia="楷体_GB2312" w:hint="eastAsia"/>
          <w:szCs w:val="32"/>
          <w:lang w:eastAsia="zh-CN"/>
        </w:rPr>
        <w:t>（三）开展</w:t>
      </w:r>
      <w:r>
        <w:rPr>
          <w:rFonts w:ascii="楷体_GB2312" w:eastAsia="楷体_GB2312"/>
          <w:szCs w:val="32"/>
          <w:lang w:eastAsia="zh-CN"/>
        </w:rPr>
        <w:t>监督检查</w:t>
      </w:r>
      <w:r>
        <w:rPr>
          <w:rFonts w:ascii="楷体_GB2312" w:eastAsia="楷体_GB2312" w:hint="eastAsia"/>
          <w:szCs w:val="32"/>
          <w:lang w:eastAsia="zh-CN"/>
        </w:rPr>
        <w:t>。</w:t>
      </w:r>
      <w:r>
        <w:rPr>
          <w:rFonts w:ascii="仿宋_GB2312" w:eastAsia="仿宋_GB2312" w:hint="eastAsia"/>
          <w:szCs w:val="32"/>
          <w:lang w:eastAsia="zh-CN"/>
        </w:rPr>
        <w:t>市级民政、规划和自然资源、住房和城乡建设</w:t>
      </w:r>
      <w:r w:rsidR="006C4DC7">
        <w:rPr>
          <w:rFonts w:ascii="仿宋_GB2312" w:eastAsia="仿宋_GB2312" w:hint="eastAsia"/>
          <w:szCs w:val="32"/>
          <w:lang w:eastAsia="zh-CN"/>
        </w:rPr>
        <w:t>、</w:t>
      </w:r>
      <w:r w:rsidR="006C4DC7">
        <w:rPr>
          <w:rFonts w:ascii="仿宋_GB2312" w:eastAsia="仿宋_GB2312"/>
          <w:szCs w:val="32"/>
          <w:lang w:eastAsia="zh-CN"/>
        </w:rPr>
        <w:t>消防救援</w:t>
      </w:r>
      <w:r>
        <w:rPr>
          <w:rFonts w:ascii="仿宋_GB2312" w:eastAsia="仿宋_GB2312" w:hint="eastAsia"/>
          <w:szCs w:val="32"/>
          <w:lang w:eastAsia="zh-CN"/>
        </w:rPr>
        <w:t>等部门每年联合开展一次改建落实情况专项督导，依法处理违法违规行为，对违规改建、擅自变更设计、违规使用设施等行为，计入企业信用信息，实行守信激励、失信惩戒。</w:t>
      </w:r>
    </w:p>
    <w:p w:rsidR="001D5F1E" w:rsidRDefault="00E72EF5">
      <w:pPr>
        <w:spacing w:after="0" w:line="576" w:lineRule="exact"/>
        <w:ind w:firstLineChars="200" w:firstLine="640"/>
        <w:jc w:val="both"/>
        <w:rPr>
          <w:rFonts w:ascii="仿宋_GB2312" w:eastAsia="仿宋_GB2312"/>
          <w:szCs w:val="32"/>
          <w:lang w:eastAsia="zh-CN"/>
        </w:rPr>
      </w:pPr>
      <w:r>
        <w:rPr>
          <w:rFonts w:ascii="黑体" w:eastAsia="黑体" w:hAnsi="黑体" w:cs="黑体" w:hint="eastAsia"/>
          <w:bCs/>
          <w:lang w:eastAsia="zh-CN"/>
        </w:rPr>
        <w:t>七、附则</w:t>
      </w:r>
    </w:p>
    <w:p w:rsidR="001D5F1E" w:rsidRDefault="00E72EF5">
      <w:pPr>
        <w:spacing w:after="0" w:line="576" w:lineRule="exact"/>
        <w:ind w:firstLineChars="200" w:firstLine="640"/>
        <w:jc w:val="both"/>
        <w:rPr>
          <w:rFonts w:ascii="仿宋_GB2312" w:eastAsia="仿宋_GB2312"/>
          <w:szCs w:val="32"/>
          <w:lang w:eastAsia="zh-CN"/>
        </w:rPr>
      </w:pPr>
      <w:r>
        <w:rPr>
          <w:rFonts w:ascii="仿宋_GB2312" w:eastAsia="仿宋_GB2312" w:hint="eastAsia"/>
          <w:szCs w:val="32"/>
          <w:lang w:eastAsia="zh-CN"/>
        </w:rPr>
        <w:t>本办法由长春市民政局会同有关部门负责解释，自印发之日起施行，有效期五年。</w:t>
      </w:r>
    </w:p>
    <w:p w:rsidR="001D5F1E" w:rsidRDefault="001D5F1E">
      <w:pPr>
        <w:spacing w:after="0" w:line="576" w:lineRule="exact"/>
        <w:jc w:val="both"/>
        <w:rPr>
          <w:rFonts w:ascii="仿宋_GB2312" w:eastAsia="仿宋_GB2312"/>
          <w:szCs w:val="32"/>
          <w:lang w:eastAsia="zh-CN"/>
        </w:rPr>
      </w:pPr>
    </w:p>
    <w:p w:rsidR="001D5F1E" w:rsidRDefault="00E72EF5">
      <w:pPr>
        <w:spacing w:after="0" w:line="576" w:lineRule="exact"/>
        <w:ind w:firstLineChars="200" w:firstLine="640"/>
        <w:jc w:val="both"/>
        <w:rPr>
          <w:rFonts w:ascii="仿宋_GB2312" w:eastAsia="仿宋_GB2312"/>
          <w:szCs w:val="32"/>
          <w:lang w:eastAsia="zh-CN"/>
        </w:rPr>
      </w:pPr>
      <w:r>
        <w:rPr>
          <w:rFonts w:ascii="仿宋_GB2312" w:eastAsia="仿宋_GB2312" w:hint="eastAsia"/>
          <w:szCs w:val="32"/>
          <w:lang w:eastAsia="zh-CN"/>
        </w:rPr>
        <w:t>附件：1.存量资源改建养老</w:t>
      </w:r>
      <w:r w:rsidR="00216CD2">
        <w:rPr>
          <w:rFonts w:ascii="仿宋_GB2312" w:eastAsia="仿宋_GB2312" w:hint="eastAsia"/>
          <w:szCs w:val="32"/>
          <w:lang w:eastAsia="zh-CN"/>
        </w:rPr>
        <w:t>服务</w:t>
      </w:r>
      <w:r>
        <w:rPr>
          <w:rFonts w:ascii="仿宋_GB2312" w:eastAsia="仿宋_GB2312" w:hint="eastAsia"/>
          <w:szCs w:val="32"/>
          <w:lang w:eastAsia="zh-CN"/>
        </w:rPr>
        <w:t>设施操作指引</w:t>
      </w:r>
    </w:p>
    <w:p w:rsidR="001D5F1E" w:rsidRDefault="00E72EF5" w:rsidP="00285997">
      <w:pPr>
        <w:spacing w:after="0" w:line="576" w:lineRule="exact"/>
        <w:ind w:firstLineChars="500" w:firstLine="1600"/>
        <w:jc w:val="both"/>
        <w:rPr>
          <w:lang w:eastAsia="zh-CN"/>
        </w:rPr>
      </w:pPr>
      <w:r>
        <w:rPr>
          <w:rFonts w:ascii="仿宋_GB2312" w:eastAsia="仿宋_GB2312"/>
          <w:szCs w:val="32"/>
          <w:lang w:eastAsia="zh-CN"/>
        </w:rPr>
        <w:t>2.</w:t>
      </w:r>
      <w:r>
        <w:rPr>
          <w:rFonts w:ascii="仿宋_GB2312" w:eastAsia="仿宋_GB2312" w:hint="eastAsia"/>
          <w:szCs w:val="32"/>
          <w:lang w:eastAsia="zh-CN"/>
        </w:rPr>
        <w:t>养老服务设施建设基本要求</w:t>
      </w:r>
    </w:p>
    <w:sectPr w:rsidR="001D5F1E" w:rsidSect="00FB253B">
      <w:footerReference w:type="default" r:id="rId8"/>
      <w:pgSz w:w="11906" w:h="16838"/>
      <w:pgMar w:top="1440" w:right="1800" w:bottom="1440" w:left="1800" w:header="720" w:footer="720" w:gutter="0"/>
      <w:pgNumType w:fmt="numberInDash"/>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4C1" w:rsidRDefault="004F24C1">
      <w:pPr>
        <w:spacing w:line="240" w:lineRule="auto"/>
      </w:pPr>
      <w:r>
        <w:separator/>
      </w:r>
    </w:p>
  </w:endnote>
  <w:endnote w:type="continuationSeparator" w:id="0">
    <w:p w:rsidR="004F24C1" w:rsidRDefault="004F2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100097"/>
      <w:docPartObj>
        <w:docPartGallery w:val="Page Numbers (Bottom of Page)"/>
        <w:docPartUnique/>
      </w:docPartObj>
    </w:sdtPr>
    <w:sdtEndPr>
      <w:rPr>
        <w:sz w:val="28"/>
        <w:szCs w:val="28"/>
      </w:rPr>
    </w:sdtEndPr>
    <w:sdtContent>
      <w:p w:rsidR="00AF6F46" w:rsidRPr="00AF6F46" w:rsidRDefault="00AF6F46">
        <w:pPr>
          <w:pStyle w:val="aa"/>
          <w:jc w:val="center"/>
          <w:rPr>
            <w:sz w:val="28"/>
            <w:szCs w:val="28"/>
          </w:rPr>
        </w:pPr>
        <w:r w:rsidRPr="00AF6F46">
          <w:rPr>
            <w:sz w:val="28"/>
            <w:szCs w:val="28"/>
          </w:rPr>
          <w:fldChar w:fldCharType="begin"/>
        </w:r>
        <w:r w:rsidRPr="00AF6F46">
          <w:rPr>
            <w:sz w:val="28"/>
            <w:szCs w:val="28"/>
          </w:rPr>
          <w:instrText>PAGE   \* MERGEFORMAT</w:instrText>
        </w:r>
        <w:r w:rsidRPr="00AF6F46">
          <w:rPr>
            <w:sz w:val="28"/>
            <w:szCs w:val="28"/>
          </w:rPr>
          <w:fldChar w:fldCharType="separate"/>
        </w:r>
        <w:r w:rsidR="00775D6E" w:rsidRPr="00775D6E">
          <w:rPr>
            <w:noProof/>
            <w:sz w:val="28"/>
            <w:szCs w:val="28"/>
            <w:lang w:val="zh-CN" w:eastAsia="zh-CN"/>
          </w:rPr>
          <w:t>-</w:t>
        </w:r>
        <w:r w:rsidR="00775D6E">
          <w:rPr>
            <w:noProof/>
            <w:sz w:val="28"/>
            <w:szCs w:val="28"/>
          </w:rPr>
          <w:t xml:space="preserve"> 7 -</w:t>
        </w:r>
        <w:r w:rsidRPr="00AF6F46">
          <w:rPr>
            <w:sz w:val="28"/>
            <w:szCs w:val="28"/>
          </w:rPr>
          <w:fldChar w:fldCharType="end"/>
        </w:r>
      </w:p>
    </w:sdtContent>
  </w:sdt>
  <w:p w:rsidR="00AF6F46" w:rsidRDefault="00AF6F4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4C1" w:rsidRDefault="004F24C1">
      <w:pPr>
        <w:spacing w:after="0"/>
      </w:pPr>
      <w:r>
        <w:separator/>
      </w:r>
    </w:p>
  </w:footnote>
  <w:footnote w:type="continuationSeparator" w:id="0">
    <w:p w:rsidR="004F24C1" w:rsidRDefault="004F24C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nsid w:val="FFFFFF7F"/>
    <w:multiLevelType w:val="singleLevel"/>
    <w:tmpl w:val="FFFFFF7F"/>
    <w:lvl w:ilvl="0">
      <w:start w:val="1"/>
      <w:numFmt w:val="decimal"/>
      <w:pStyle w:val="2"/>
      <w:lvlText w:val="%1."/>
      <w:lvlJc w:val="left"/>
      <w:pPr>
        <w:tabs>
          <w:tab w:val="left" w:pos="720"/>
        </w:tabs>
        <w:ind w:left="720" w:hanging="360"/>
      </w:pPr>
    </w:lvl>
  </w:abstractNum>
  <w:abstractNum w:abstractNumId="2">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a"/>
      <w:lvlText w:val="%1."/>
      <w:lvlJc w:val="left"/>
      <w:pPr>
        <w:tabs>
          <w:tab w:val="left" w:pos="360"/>
        </w:tabs>
        <w:ind w:left="360" w:hanging="360"/>
      </w:pPr>
    </w:lvl>
  </w:abstractNum>
  <w:abstractNum w:abstractNumId="5">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7052"/>
    <w:rsid w:val="00015CE0"/>
    <w:rsid w:val="00033EB1"/>
    <w:rsid w:val="00034616"/>
    <w:rsid w:val="0006063C"/>
    <w:rsid w:val="0015074B"/>
    <w:rsid w:val="001A2EEC"/>
    <w:rsid w:val="001D5F1E"/>
    <w:rsid w:val="00216CD2"/>
    <w:rsid w:val="0023313B"/>
    <w:rsid w:val="0024185D"/>
    <w:rsid w:val="00285997"/>
    <w:rsid w:val="0029639D"/>
    <w:rsid w:val="002A745F"/>
    <w:rsid w:val="002D5763"/>
    <w:rsid w:val="002D6DAE"/>
    <w:rsid w:val="002D716A"/>
    <w:rsid w:val="00326F90"/>
    <w:rsid w:val="00382FE3"/>
    <w:rsid w:val="00383F81"/>
    <w:rsid w:val="00392609"/>
    <w:rsid w:val="003C11A8"/>
    <w:rsid w:val="003F1008"/>
    <w:rsid w:val="00417E60"/>
    <w:rsid w:val="00477B94"/>
    <w:rsid w:val="004F24C1"/>
    <w:rsid w:val="004F351D"/>
    <w:rsid w:val="00531BE1"/>
    <w:rsid w:val="00596AFF"/>
    <w:rsid w:val="005B4F03"/>
    <w:rsid w:val="006140A1"/>
    <w:rsid w:val="0061534A"/>
    <w:rsid w:val="00617E9E"/>
    <w:rsid w:val="006C4DC7"/>
    <w:rsid w:val="00706023"/>
    <w:rsid w:val="0072609C"/>
    <w:rsid w:val="00746975"/>
    <w:rsid w:val="00775D6E"/>
    <w:rsid w:val="007855BE"/>
    <w:rsid w:val="007D2A88"/>
    <w:rsid w:val="00801D9C"/>
    <w:rsid w:val="00810EA5"/>
    <w:rsid w:val="00842C22"/>
    <w:rsid w:val="008B2773"/>
    <w:rsid w:val="008D0980"/>
    <w:rsid w:val="009006A2"/>
    <w:rsid w:val="0090143C"/>
    <w:rsid w:val="00926000"/>
    <w:rsid w:val="00930EED"/>
    <w:rsid w:val="009337A1"/>
    <w:rsid w:val="00964E40"/>
    <w:rsid w:val="00964E54"/>
    <w:rsid w:val="0097677C"/>
    <w:rsid w:val="009B358B"/>
    <w:rsid w:val="009D6232"/>
    <w:rsid w:val="009D7C25"/>
    <w:rsid w:val="00A11DA5"/>
    <w:rsid w:val="00A2044D"/>
    <w:rsid w:val="00A44041"/>
    <w:rsid w:val="00A83FF4"/>
    <w:rsid w:val="00AA1D8D"/>
    <w:rsid w:val="00AB4F90"/>
    <w:rsid w:val="00AF6F46"/>
    <w:rsid w:val="00B13ABE"/>
    <w:rsid w:val="00B4723A"/>
    <w:rsid w:val="00B47730"/>
    <w:rsid w:val="00B81C2D"/>
    <w:rsid w:val="00B91DBE"/>
    <w:rsid w:val="00B95A5D"/>
    <w:rsid w:val="00BF6534"/>
    <w:rsid w:val="00C109FC"/>
    <w:rsid w:val="00C11B2C"/>
    <w:rsid w:val="00C36274"/>
    <w:rsid w:val="00CB0664"/>
    <w:rsid w:val="00CD4CC7"/>
    <w:rsid w:val="00D0479F"/>
    <w:rsid w:val="00D30FC7"/>
    <w:rsid w:val="00D47BBF"/>
    <w:rsid w:val="00DB214A"/>
    <w:rsid w:val="00E05151"/>
    <w:rsid w:val="00E06C02"/>
    <w:rsid w:val="00E11D6F"/>
    <w:rsid w:val="00E47A11"/>
    <w:rsid w:val="00E62AF1"/>
    <w:rsid w:val="00E650B0"/>
    <w:rsid w:val="00E72EF2"/>
    <w:rsid w:val="00E72EF5"/>
    <w:rsid w:val="00EB6229"/>
    <w:rsid w:val="00EB7605"/>
    <w:rsid w:val="00F17AF5"/>
    <w:rsid w:val="00F55C6F"/>
    <w:rsid w:val="00F96E18"/>
    <w:rsid w:val="00FA4BB4"/>
    <w:rsid w:val="00FB253B"/>
    <w:rsid w:val="00FC693F"/>
    <w:rsid w:val="00FD0D94"/>
    <w:rsid w:val="00FE00CB"/>
    <w:rsid w:val="121A1217"/>
    <w:rsid w:val="171112E5"/>
    <w:rsid w:val="2BEB14C3"/>
    <w:rsid w:val="39D469E3"/>
    <w:rsid w:val="41AC096A"/>
    <w:rsid w:val="67E32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9C3DA9EB-6A26-4F24-9042-717E1C73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qFormat="1"/>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lsdException w:name="Medium Shading 2 Accent 1" w:uiPriority="64" w:qFormat="1"/>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qFormat="1"/>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360" w:lineRule="auto"/>
    </w:pPr>
    <w:rPr>
      <w:rFonts w:ascii="宋体" w:eastAsia="宋体" w:hAnsi="宋体"/>
      <w:sz w:val="32"/>
      <w:szCs w:val="22"/>
      <w:lang w:eastAsia="en-US"/>
    </w:rPr>
  </w:style>
  <w:style w:type="paragraph" w:styleId="1">
    <w:name w:val="heading 1"/>
    <w:basedOn w:val="a1"/>
    <w:next w:val="a1"/>
    <w:link w:val="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2">
    <w:name w:val="List 3"/>
    <w:basedOn w:val="a1"/>
    <w:uiPriority w:val="99"/>
    <w:unhideWhenUsed/>
    <w:qFormat/>
    <w:pPr>
      <w:ind w:left="1080" w:hanging="360"/>
      <w:contextualSpacing/>
    </w:pPr>
  </w:style>
  <w:style w:type="paragraph" w:styleId="2">
    <w:name w:val="List Number 2"/>
    <w:basedOn w:val="a1"/>
    <w:uiPriority w:val="99"/>
    <w:unhideWhenUsed/>
    <w:qFormat/>
    <w:pPr>
      <w:numPr>
        <w:numId w:val="1"/>
      </w:numPr>
      <w:contextualSpacing/>
    </w:pPr>
  </w:style>
  <w:style w:type="paragraph" w:styleId="a">
    <w:name w:val="List Number"/>
    <w:basedOn w:val="a1"/>
    <w:uiPriority w:val="99"/>
    <w:unhideWhenUsed/>
    <w:qFormat/>
    <w:pPr>
      <w:numPr>
        <w:numId w:val="2"/>
      </w:numPr>
      <w:contextualSpacing/>
    </w:pPr>
  </w:style>
  <w:style w:type="paragraph" w:styleId="a6">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qFormat/>
    <w:pPr>
      <w:numPr>
        <w:numId w:val="3"/>
      </w:numPr>
      <w:contextualSpacing/>
    </w:pPr>
  </w:style>
  <w:style w:type="paragraph" w:styleId="33">
    <w:name w:val="Body Text 3"/>
    <w:basedOn w:val="a1"/>
    <w:link w:val="3Char0"/>
    <w:uiPriority w:val="99"/>
    <w:unhideWhenUsed/>
    <w:qFormat/>
    <w:pPr>
      <w:spacing w:after="120"/>
    </w:pPr>
    <w:rPr>
      <w:sz w:val="16"/>
      <w:szCs w:val="16"/>
    </w:rPr>
  </w:style>
  <w:style w:type="paragraph" w:styleId="30">
    <w:name w:val="List Bullet 3"/>
    <w:basedOn w:val="a1"/>
    <w:uiPriority w:val="99"/>
    <w:unhideWhenUsed/>
    <w:qFormat/>
    <w:pPr>
      <w:numPr>
        <w:numId w:val="4"/>
      </w:numPr>
      <w:contextualSpacing/>
    </w:pPr>
  </w:style>
  <w:style w:type="paragraph" w:styleId="a7">
    <w:name w:val="Body Text"/>
    <w:basedOn w:val="a1"/>
    <w:link w:val="Char0"/>
    <w:uiPriority w:val="99"/>
    <w:unhideWhenUsed/>
    <w:qFormat/>
    <w:pPr>
      <w:spacing w:after="120"/>
    </w:pPr>
  </w:style>
  <w:style w:type="paragraph" w:styleId="3">
    <w:name w:val="List Number 3"/>
    <w:basedOn w:val="a1"/>
    <w:uiPriority w:val="99"/>
    <w:unhideWhenUsed/>
    <w:qFormat/>
    <w:pPr>
      <w:numPr>
        <w:numId w:val="5"/>
      </w:numPr>
      <w:contextualSpacing/>
    </w:pPr>
  </w:style>
  <w:style w:type="paragraph" w:styleId="22">
    <w:name w:val="List 2"/>
    <w:basedOn w:val="a1"/>
    <w:uiPriority w:val="99"/>
    <w:unhideWhenUsed/>
    <w:qFormat/>
    <w:pPr>
      <w:ind w:left="720" w:hanging="360"/>
      <w:contextualSpacing/>
    </w:pPr>
  </w:style>
  <w:style w:type="paragraph" w:styleId="a8">
    <w:name w:val="List Continue"/>
    <w:basedOn w:val="a1"/>
    <w:uiPriority w:val="99"/>
    <w:unhideWhenUsed/>
    <w:qFormat/>
    <w:pPr>
      <w:spacing w:after="120"/>
      <w:ind w:left="360"/>
      <w:contextualSpacing/>
    </w:pPr>
  </w:style>
  <w:style w:type="paragraph" w:styleId="20">
    <w:name w:val="List Bullet 2"/>
    <w:basedOn w:val="a1"/>
    <w:uiPriority w:val="99"/>
    <w:unhideWhenUsed/>
    <w:qFormat/>
    <w:pPr>
      <w:numPr>
        <w:numId w:val="6"/>
      </w:numPr>
      <w:contextualSpacing/>
    </w:pPr>
  </w:style>
  <w:style w:type="paragraph" w:styleId="a9">
    <w:name w:val="Balloon Text"/>
    <w:basedOn w:val="a1"/>
    <w:link w:val="Char1"/>
    <w:uiPriority w:val="99"/>
    <w:semiHidden/>
    <w:unhideWhenUsed/>
    <w:pPr>
      <w:spacing w:after="0" w:line="240" w:lineRule="auto"/>
    </w:pPr>
    <w:rPr>
      <w:sz w:val="18"/>
      <w:szCs w:val="18"/>
    </w:rPr>
  </w:style>
  <w:style w:type="paragraph" w:styleId="aa">
    <w:name w:val="footer"/>
    <w:basedOn w:val="a1"/>
    <w:link w:val="Char2"/>
    <w:uiPriority w:val="99"/>
    <w:unhideWhenUsed/>
    <w:qFormat/>
    <w:pPr>
      <w:tabs>
        <w:tab w:val="center" w:pos="4680"/>
        <w:tab w:val="right" w:pos="9360"/>
      </w:tabs>
      <w:spacing w:after="0" w:line="240" w:lineRule="auto"/>
    </w:pPr>
  </w:style>
  <w:style w:type="paragraph" w:styleId="ab">
    <w:name w:val="header"/>
    <w:basedOn w:val="a1"/>
    <w:link w:val="Char3"/>
    <w:uiPriority w:val="99"/>
    <w:unhideWhenUsed/>
    <w:qFormat/>
    <w:pPr>
      <w:tabs>
        <w:tab w:val="center" w:pos="4680"/>
        <w:tab w:val="right" w:pos="9360"/>
      </w:tabs>
      <w:spacing w:after="0" w:line="240" w:lineRule="auto"/>
    </w:pPr>
  </w:style>
  <w:style w:type="paragraph" w:styleId="ac">
    <w:name w:val="Subtitle"/>
    <w:basedOn w:val="a1"/>
    <w:next w:val="a1"/>
    <w:link w:val="Char4"/>
    <w:uiPriority w:val="11"/>
    <w:qFormat/>
    <w:rPr>
      <w:rFonts w:asciiTheme="majorHAnsi" w:eastAsiaTheme="majorEastAsia" w:hAnsiTheme="majorHAnsi" w:cstheme="majorBidi"/>
      <w:i/>
      <w:iCs/>
      <w:color w:val="4F81BD" w:themeColor="accent1"/>
      <w:spacing w:val="15"/>
      <w:sz w:val="24"/>
      <w:szCs w:val="24"/>
    </w:rPr>
  </w:style>
  <w:style w:type="paragraph" w:styleId="ad">
    <w:name w:val="List"/>
    <w:basedOn w:val="a1"/>
    <w:uiPriority w:val="99"/>
    <w:unhideWhenUsed/>
    <w:qFormat/>
    <w:pPr>
      <w:ind w:left="360" w:hanging="360"/>
      <w:contextualSpacing/>
    </w:pPr>
  </w:style>
  <w:style w:type="paragraph" w:styleId="23">
    <w:name w:val="Body Text 2"/>
    <w:basedOn w:val="a1"/>
    <w:link w:val="2Char0"/>
    <w:uiPriority w:val="99"/>
    <w:unhideWhenUsed/>
    <w:qFormat/>
    <w:pPr>
      <w:spacing w:after="120" w:line="480" w:lineRule="auto"/>
    </w:pPr>
  </w:style>
  <w:style w:type="paragraph" w:styleId="24">
    <w:name w:val="List Continue 2"/>
    <w:basedOn w:val="a1"/>
    <w:uiPriority w:val="99"/>
    <w:unhideWhenUsed/>
    <w:qFormat/>
    <w:pPr>
      <w:spacing w:after="120"/>
      <w:ind w:left="720"/>
      <w:contextualSpacing/>
    </w:pPr>
  </w:style>
  <w:style w:type="paragraph" w:styleId="34">
    <w:name w:val="List Continue 3"/>
    <w:basedOn w:val="a1"/>
    <w:uiPriority w:val="99"/>
    <w:unhideWhenUsed/>
    <w:qFormat/>
    <w:pPr>
      <w:spacing w:after="120"/>
      <w:ind w:left="1080"/>
      <w:contextualSpacing/>
    </w:pPr>
  </w:style>
  <w:style w:type="paragraph" w:styleId="ae">
    <w:name w:val="Title"/>
    <w:basedOn w:val="a1"/>
    <w:next w:val="a1"/>
    <w:link w:val="Char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Light Shading"/>
    <w:basedOn w:val="a3"/>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1">
    <w:name w:val="Light List"/>
    <w:basedOn w:val="a3"/>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2">
    <w:name w:val="Light Grid"/>
    <w:basedOn w:val="a3"/>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0">
    <w:name w:val="Medium Shading 1"/>
    <w:basedOn w:val="a3"/>
    <w:uiPriority w:val="63"/>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CE8C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CE8C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CE8C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CE8C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CE8C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CE8C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CE8C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CE8CF" w:themeFill="background1"/>
      </w:tcPr>
    </w:tblStylePr>
    <w:tblStylePr w:type="lastRow">
      <w:tblPr/>
      <w:tcPr>
        <w:tcBorders>
          <w:top w:val="single" w:sz="8" w:space="0" w:color="000000" w:themeColor="text1"/>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000000" w:themeColor="text1"/>
          <w:insideH w:val="nil"/>
          <w:insideV w:val="nil"/>
        </w:tcBorders>
        <w:shd w:val="clear" w:color="auto" w:fill="CCE8CF" w:themeFill="background1"/>
      </w:tcPr>
    </w:tblStylePr>
    <w:tblStylePr w:type="lastCol">
      <w:tblPr/>
      <w:tcPr>
        <w:tcBorders>
          <w:top w:val="nil"/>
          <w:left w:val="single" w:sz="8" w:space="0" w:color="000000" w:themeColor="text1"/>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CE8C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CE8CF" w:themeFill="background1"/>
      </w:tcPr>
    </w:tblStylePr>
    <w:tblStylePr w:type="lastRow">
      <w:tblPr/>
      <w:tcPr>
        <w:tcBorders>
          <w:top w:val="single" w:sz="8" w:space="0" w:color="4F81BD" w:themeColor="accent1"/>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4F81BD" w:themeColor="accent1"/>
          <w:insideH w:val="nil"/>
          <w:insideV w:val="nil"/>
        </w:tcBorders>
        <w:shd w:val="clear" w:color="auto" w:fill="CCE8CF" w:themeFill="background1"/>
      </w:tcPr>
    </w:tblStylePr>
    <w:tblStylePr w:type="lastCol">
      <w:tblPr/>
      <w:tcPr>
        <w:tcBorders>
          <w:top w:val="nil"/>
          <w:left w:val="single" w:sz="8" w:space="0" w:color="4F81BD" w:themeColor="accent1"/>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CE8C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CE8CF" w:themeFill="background1"/>
      </w:tcPr>
    </w:tblStylePr>
    <w:tblStylePr w:type="lastRow">
      <w:tblPr/>
      <w:tcPr>
        <w:tcBorders>
          <w:top w:val="single" w:sz="8" w:space="0" w:color="C0504D" w:themeColor="accent2"/>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C0504D" w:themeColor="accent2"/>
          <w:insideH w:val="nil"/>
          <w:insideV w:val="nil"/>
        </w:tcBorders>
        <w:shd w:val="clear" w:color="auto" w:fill="CCE8CF" w:themeFill="background1"/>
      </w:tcPr>
    </w:tblStylePr>
    <w:tblStylePr w:type="lastCol">
      <w:tblPr/>
      <w:tcPr>
        <w:tcBorders>
          <w:top w:val="nil"/>
          <w:left w:val="single" w:sz="8" w:space="0" w:color="C0504D" w:themeColor="accent2"/>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CE8C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CE8CF" w:themeFill="background1"/>
      </w:tcPr>
    </w:tblStylePr>
    <w:tblStylePr w:type="lastRow">
      <w:tblPr/>
      <w:tcPr>
        <w:tcBorders>
          <w:top w:val="single" w:sz="8" w:space="0" w:color="9BBB59" w:themeColor="accent3"/>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9BBB59" w:themeColor="accent3"/>
          <w:insideH w:val="nil"/>
          <w:insideV w:val="nil"/>
        </w:tcBorders>
        <w:shd w:val="clear" w:color="auto" w:fill="CCE8CF" w:themeFill="background1"/>
      </w:tcPr>
    </w:tblStylePr>
    <w:tblStylePr w:type="lastCol">
      <w:tblPr/>
      <w:tcPr>
        <w:tcBorders>
          <w:top w:val="nil"/>
          <w:left w:val="single" w:sz="8" w:space="0" w:color="9BBB59" w:themeColor="accent3"/>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CE8CF" w:themeFill="background1"/>
      </w:tcPr>
    </w:tblStylePr>
    <w:tblStylePr w:type="swCell">
      <w:tblPr/>
      <w:tcPr>
        <w:tcBorders>
          <w:top w:val="nil"/>
        </w:tcBorders>
      </w:tcPr>
    </w:tblStylePr>
  </w:style>
  <w:style w:type="table" w:styleId="2-40">
    <w:name w:val="Medium List 2 Accent 4"/>
    <w:basedOn w:val="a3"/>
    <w:uiPriority w:val="66"/>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CE8CF" w:themeFill="background1"/>
      </w:tcPr>
    </w:tblStylePr>
    <w:tblStylePr w:type="lastRow">
      <w:tblPr/>
      <w:tcPr>
        <w:tcBorders>
          <w:top w:val="single" w:sz="8" w:space="0" w:color="8064A2" w:themeColor="accent4"/>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8064A2" w:themeColor="accent4"/>
          <w:insideH w:val="nil"/>
          <w:insideV w:val="nil"/>
        </w:tcBorders>
        <w:shd w:val="clear" w:color="auto" w:fill="CCE8CF" w:themeFill="background1"/>
      </w:tcPr>
    </w:tblStylePr>
    <w:tblStylePr w:type="lastCol">
      <w:tblPr/>
      <w:tcPr>
        <w:tcBorders>
          <w:top w:val="nil"/>
          <w:left w:val="single" w:sz="8" w:space="0" w:color="8064A2" w:themeColor="accent4"/>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CE8C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CE8CF" w:themeFill="background1"/>
      </w:tcPr>
    </w:tblStylePr>
    <w:tblStylePr w:type="lastRow">
      <w:tblPr/>
      <w:tcPr>
        <w:tcBorders>
          <w:top w:val="single" w:sz="8" w:space="0" w:color="4BACC6" w:themeColor="accent5"/>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4BACC6" w:themeColor="accent5"/>
          <w:insideH w:val="nil"/>
          <w:insideV w:val="nil"/>
        </w:tcBorders>
        <w:shd w:val="clear" w:color="auto" w:fill="CCE8CF" w:themeFill="background1"/>
      </w:tcPr>
    </w:tblStylePr>
    <w:tblStylePr w:type="lastCol">
      <w:tblPr/>
      <w:tcPr>
        <w:tcBorders>
          <w:top w:val="nil"/>
          <w:left w:val="single" w:sz="8" w:space="0" w:color="4BACC6" w:themeColor="accent5"/>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CE8C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CE8CF" w:themeFill="background1"/>
      </w:tcPr>
    </w:tblStylePr>
    <w:tblStylePr w:type="lastRow">
      <w:tblPr/>
      <w:tcPr>
        <w:tcBorders>
          <w:top w:val="single" w:sz="8" w:space="0" w:color="F79646" w:themeColor="accent6"/>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F79646" w:themeColor="accent6"/>
          <w:insideH w:val="nil"/>
          <w:insideV w:val="nil"/>
        </w:tcBorders>
        <w:shd w:val="clear" w:color="auto" w:fill="CCE8CF" w:themeFill="background1"/>
      </w:tcPr>
    </w:tblStylePr>
    <w:tblStylePr w:type="lastCol">
      <w:tblPr/>
      <w:tcPr>
        <w:tcBorders>
          <w:top w:val="nil"/>
          <w:left w:val="single" w:sz="8" w:space="0" w:color="F79646" w:themeColor="accent6"/>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CE8CF" w:themeFill="background1"/>
      </w:tcPr>
    </w:tblStylePr>
    <w:tblStylePr w:type="swCell">
      <w:tblPr/>
      <w:tcPr>
        <w:tcBorders>
          <w:top w:val="nil"/>
        </w:tcBorders>
      </w:tcPr>
    </w:tblStylePr>
  </w:style>
  <w:style w:type="table" w:styleId="12">
    <w:name w:val="Medium Grid 1"/>
    <w:basedOn w:val="a3"/>
    <w:uiPriority w:val="67"/>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CCE8C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CCE8C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CCE8C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CCE8C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CCE8C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CCE8C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CCE8CF" w:themeFill="background1"/>
      </w:tcPr>
    </w:tblStylePr>
  </w:style>
  <w:style w:type="table" w:styleId="35">
    <w:name w:val="Medium Grid 3"/>
    <w:basedOn w:val="a3"/>
    <w:uiPriority w:val="69"/>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000000" w:themeFill="text1"/>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000000" w:themeFill="text1"/>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000000" w:themeFill="text1"/>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000000" w:themeFill="text1"/>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808080" w:themeFill="text1"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4F81BD" w:themeFill="accent1"/>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4F81BD" w:themeFill="accent1"/>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4F81BD" w:themeFill="accent1"/>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4F81BD" w:themeFill="accent1"/>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A7BFDE" w:themeFill="accent1"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C0504D" w:themeFill="accent2"/>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C0504D" w:themeFill="accent2"/>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C0504D" w:themeFill="accent2"/>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C0504D" w:themeFill="accent2"/>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DFA7A6" w:themeFill="accent2"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9BBB59" w:themeFill="accent3"/>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9BBB59" w:themeFill="accent3"/>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9BBB59" w:themeFill="accent3"/>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9BBB59" w:themeFill="accent3"/>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CDDDAC" w:themeFill="accent3"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8064A2" w:themeFill="accent4"/>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8064A2" w:themeFill="accent4"/>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8064A2" w:themeFill="accent4"/>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8064A2" w:themeFill="accent4"/>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BFB1D0" w:themeFill="accent4"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4BACC6" w:themeFill="accent5"/>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4BACC6" w:themeFill="accent5"/>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4BACC6" w:themeFill="accent5"/>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4BACC6" w:themeFill="accent5"/>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A5D5E2" w:themeFill="accent5"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Ind w:w="0" w:type="dxa"/>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auto"/>
        </w:tcBorders>
        <w:shd w:val="clear" w:color="auto" w:fill="F79646" w:themeFill="accent6"/>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auto"/>
        </w:tcBorders>
        <w:shd w:val="clear" w:color="auto" w:fill="F79646" w:themeFill="accent6"/>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F79646" w:themeFill="accent6"/>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F79646" w:themeFill="accent6"/>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FBCAA2" w:themeFill="accent6"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auto"/>
          <w:insideV w:val="single" w:sz="8" w:space="0" w:color="auto"/>
        </w:tcBorders>
        <w:shd w:val="clear" w:color="auto" w:fill="FBCAA2" w:themeFill="accent6" w:themeFillTint="7F"/>
      </w:tcPr>
    </w:tblStylePr>
  </w:style>
  <w:style w:type="table" w:styleId="af3">
    <w:name w:val="Dark List"/>
    <w:basedOn w:val="a3"/>
    <w:uiPriority w:val="70"/>
    <w:qFormat/>
    <w:rPr>
      <w:color w:val="CCE8C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CE8CF" w:themeColor="background1"/>
          <w:insideH w:val="nil"/>
          <w:insideV w:val="nil"/>
        </w:tcBorders>
        <w:shd w:val="clear" w:color="auto" w:fill="000000" w:themeFill="text1" w:themeFillShade="BF"/>
      </w:tcPr>
    </w:tblStylePr>
    <w:tblStylePr w:type="lastCol">
      <w:tblPr/>
      <w:tcPr>
        <w:tcBorders>
          <w:top w:val="nil"/>
          <w:left w:val="single" w:sz="18" w:space="0" w:color="CCE8C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CCE8C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CE8CF" w:themeColor="background1"/>
          <w:insideH w:val="nil"/>
          <w:insideV w:val="nil"/>
        </w:tcBorders>
        <w:shd w:val="clear" w:color="auto" w:fill="365F91" w:themeFill="accent1" w:themeFillShade="BF"/>
      </w:tcPr>
    </w:tblStylePr>
    <w:tblStylePr w:type="lastCol">
      <w:tblPr/>
      <w:tcPr>
        <w:tcBorders>
          <w:top w:val="nil"/>
          <w:left w:val="single" w:sz="18" w:space="0" w:color="CCE8C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CCE8C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CE8CF" w:themeColor="background1"/>
          <w:insideH w:val="nil"/>
          <w:insideV w:val="nil"/>
        </w:tcBorders>
        <w:shd w:val="clear" w:color="auto" w:fill="943634" w:themeFill="accent2" w:themeFillShade="BF"/>
      </w:tcPr>
    </w:tblStylePr>
    <w:tblStylePr w:type="lastCol">
      <w:tblPr/>
      <w:tcPr>
        <w:tcBorders>
          <w:top w:val="nil"/>
          <w:left w:val="single" w:sz="18" w:space="0" w:color="CCE8C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CCE8C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CE8CF" w:themeColor="background1"/>
          <w:insideH w:val="nil"/>
          <w:insideV w:val="nil"/>
        </w:tcBorders>
        <w:shd w:val="clear" w:color="auto" w:fill="76923C" w:themeFill="accent3" w:themeFillShade="BF"/>
      </w:tcPr>
    </w:tblStylePr>
    <w:tblStylePr w:type="lastCol">
      <w:tblPr/>
      <w:tcPr>
        <w:tcBorders>
          <w:top w:val="nil"/>
          <w:left w:val="single" w:sz="18" w:space="0" w:color="CCE8C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CCE8C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CE8CF" w:themeColor="background1"/>
          <w:insideH w:val="nil"/>
          <w:insideV w:val="nil"/>
        </w:tcBorders>
        <w:shd w:val="clear" w:color="auto" w:fill="5F497A" w:themeFill="accent4" w:themeFillShade="BF"/>
      </w:tcPr>
    </w:tblStylePr>
    <w:tblStylePr w:type="lastCol">
      <w:tblPr/>
      <w:tcPr>
        <w:tcBorders>
          <w:top w:val="nil"/>
          <w:left w:val="single" w:sz="18" w:space="0" w:color="CCE8C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CCE8C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CE8CF" w:themeColor="background1"/>
          <w:insideH w:val="nil"/>
          <w:insideV w:val="nil"/>
        </w:tcBorders>
        <w:shd w:val="clear" w:color="auto" w:fill="31849B" w:themeFill="accent5" w:themeFillShade="BF"/>
      </w:tcPr>
    </w:tblStylePr>
    <w:tblStylePr w:type="lastCol">
      <w:tblPr/>
      <w:tcPr>
        <w:tcBorders>
          <w:top w:val="nil"/>
          <w:left w:val="single" w:sz="18" w:space="0" w:color="CCE8C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CCE8C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CE8CF" w:themeColor="background1"/>
          <w:insideH w:val="nil"/>
          <w:insideV w:val="nil"/>
        </w:tcBorders>
        <w:shd w:val="clear" w:color="auto" w:fill="E36C0A" w:themeFill="accent6" w:themeFillShade="BF"/>
      </w:tcPr>
    </w:tblStylePr>
    <w:tblStylePr w:type="lastCol">
      <w:tblPr/>
      <w:tcPr>
        <w:tcBorders>
          <w:top w:val="nil"/>
          <w:left w:val="single" w:sz="18" w:space="0" w:color="CCE8C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4">
    <w:name w:val="Colorful Shading"/>
    <w:basedOn w:val="a3"/>
    <w:uiPriority w:val="71"/>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000000" w:themeFill="text1"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CCE8C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2C4C74" w:themeFill="accent1"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CCE8C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772C2A" w:themeFill="accent2"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CCE8C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5E7530" w:themeFill="accent3"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CCE8C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4C3B62" w:themeFill="accent4"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CCE8C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276A7C" w:themeFill="accent5"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CCE8C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B65608" w:themeFill="accent6" w:themeFillShade="99"/>
      </w:tcPr>
    </w:tblStylePr>
    <w:tblStylePr w:type="firstCol">
      <w:rPr>
        <w:color w:val="CCE8C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CCE8C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5">
    <w:name w:val="Colorful List"/>
    <w:basedOn w:val="a3"/>
    <w:uiPriority w:val="72"/>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CCE8CF" w:themeColor="background1"/>
      </w:rPr>
      <w:tblPr/>
      <w:tcPr>
        <w:tcBorders>
          <w:bottom w:val="single" w:sz="12" w:space="0" w:color="CCE8C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CCE8CF" w:themeColor="background1"/>
      </w:rPr>
      <w:tblPr/>
      <w:tcPr>
        <w:tcBorders>
          <w:bottom w:val="single" w:sz="12" w:space="0" w:color="CCE8C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CCE8CF" w:themeColor="background1"/>
      </w:rPr>
      <w:tblPr/>
      <w:tcPr>
        <w:tcBorders>
          <w:bottom w:val="single" w:sz="12" w:space="0" w:color="CCE8C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CCE8CF" w:themeColor="background1"/>
      </w:rPr>
      <w:tblPr/>
      <w:tcPr>
        <w:tcBorders>
          <w:bottom w:val="single" w:sz="12" w:space="0" w:color="CCE8C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CCE8CF" w:themeColor="background1"/>
      </w:rPr>
      <w:tblPr/>
      <w:tcPr>
        <w:tcBorders>
          <w:bottom w:val="single" w:sz="12" w:space="0" w:color="CCE8C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CCE8CF" w:themeColor="background1"/>
      </w:rPr>
      <w:tblPr/>
      <w:tcPr>
        <w:tcBorders>
          <w:bottom w:val="single" w:sz="12" w:space="0" w:color="CCE8C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CCE8CF" w:themeColor="background1"/>
      </w:rPr>
      <w:tblPr/>
      <w:tcPr>
        <w:tcBorders>
          <w:bottom w:val="single" w:sz="12" w:space="0" w:color="CCE8C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6">
    <w:name w:val="Colorful Grid"/>
    <w:basedOn w:val="a3"/>
    <w:uiPriority w:val="73"/>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CE8CF" w:themeColor="background1"/>
      </w:rPr>
      <w:tblPr/>
      <w:tcPr>
        <w:shd w:val="clear" w:color="auto" w:fill="000000" w:themeFill="text1" w:themeFillShade="BF"/>
      </w:tcPr>
    </w:tblStylePr>
    <w:tblStylePr w:type="lastCol">
      <w:rPr>
        <w:color w:val="CCE8C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CE8CF" w:themeColor="background1"/>
      </w:rPr>
      <w:tblPr/>
      <w:tcPr>
        <w:shd w:val="clear" w:color="auto" w:fill="365F91" w:themeFill="accent1" w:themeFillShade="BF"/>
      </w:tcPr>
    </w:tblStylePr>
    <w:tblStylePr w:type="lastCol">
      <w:rPr>
        <w:color w:val="CCE8C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CE8CF" w:themeColor="background1"/>
      </w:rPr>
      <w:tblPr/>
      <w:tcPr>
        <w:shd w:val="clear" w:color="auto" w:fill="943634" w:themeFill="accent2" w:themeFillShade="BF"/>
      </w:tcPr>
    </w:tblStylePr>
    <w:tblStylePr w:type="lastCol">
      <w:rPr>
        <w:color w:val="CCE8C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CE8CF" w:themeColor="background1"/>
      </w:rPr>
      <w:tblPr/>
      <w:tcPr>
        <w:shd w:val="clear" w:color="auto" w:fill="76923C" w:themeFill="accent3" w:themeFillShade="BF"/>
      </w:tcPr>
    </w:tblStylePr>
    <w:tblStylePr w:type="lastCol">
      <w:rPr>
        <w:color w:val="CCE8C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CE8CF" w:themeColor="background1"/>
      </w:rPr>
      <w:tblPr/>
      <w:tcPr>
        <w:shd w:val="clear" w:color="auto" w:fill="5F497A" w:themeFill="accent4" w:themeFillShade="BF"/>
      </w:tcPr>
    </w:tblStylePr>
    <w:tblStylePr w:type="lastCol">
      <w:rPr>
        <w:color w:val="CCE8C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CE8CF" w:themeColor="background1"/>
      </w:rPr>
      <w:tblPr/>
      <w:tcPr>
        <w:shd w:val="clear" w:color="auto" w:fill="31849B" w:themeFill="accent5" w:themeFillShade="BF"/>
      </w:tcPr>
    </w:tblStylePr>
    <w:tblStylePr w:type="lastCol">
      <w:rPr>
        <w:color w:val="CCE8C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Ind w:w="0" w:type="dxa"/>
      <w:tblBorders>
        <w:insideH w:val="single" w:sz="4" w:space="0" w:color="CCE8C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CE8CF" w:themeColor="background1"/>
      </w:rPr>
      <w:tblPr/>
      <w:tcPr>
        <w:shd w:val="clear" w:color="auto" w:fill="E36C0A" w:themeFill="accent6" w:themeFillShade="BF"/>
      </w:tcPr>
    </w:tblStylePr>
    <w:tblStylePr w:type="lastCol">
      <w:rPr>
        <w:color w:val="CCE8C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7">
    <w:name w:val="Strong"/>
    <w:basedOn w:val="a2"/>
    <w:uiPriority w:val="22"/>
    <w:qFormat/>
    <w:rPr>
      <w:b/>
      <w:bCs/>
    </w:rPr>
  </w:style>
  <w:style w:type="character" w:styleId="af8">
    <w:name w:val="Emphasis"/>
    <w:basedOn w:val="a2"/>
    <w:uiPriority w:val="20"/>
    <w:qFormat/>
    <w:rPr>
      <w:i/>
      <w:iCs/>
    </w:rPr>
  </w:style>
  <w:style w:type="character" w:customStyle="1" w:styleId="Char3">
    <w:name w:val="页眉 Char"/>
    <w:basedOn w:val="a2"/>
    <w:link w:val="ab"/>
    <w:uiPriority w:val="99"/>
    <w:qFormat/>
  </w:style>
  <w:style w:type="character" w:customStyle="1" w:styleId="Char2">
    <w:name w:val="页脚 Char"/>
    <w:basedOn w:val="a2"/>
    <w:link w:val="aa"/>
    <w:uiPriority w:val="99"/>
    <w:qFormat/>
  </w:style>
  <w:style w:type="paragraph" w:styleId="af9">
    <w:name w:val="No Spacing"/>
    <w:uiPriority w:val="1"/>
    <w:qFormat/>
    <w:rPr>
      <w:sz w:val="22"/>
      <w:szCs w:val="22"/>
      <w:lang w:eastAsia="en-US"/>
    </w:rPr>
  </w:style>
  <w:style w:type="character" w:customStyle="1" w:styleId="1Char">
    <w:name w:val="标题 1 Char"/>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qFormat/>
    <w:rPr>
      <w:rFonts w:asciiTheme="majorHAnsi" w:eastAsiaTheme="majorEastAsia" w:hAnsiTheme="majorHAnsi" w:cstheme="majorBidi"/>
      <w:b/>
      <w:bCs/>
      <w:color w:val="4F81BD" w:themeColor="accent1"/>
    </w:rPr>
  </w:style>
  <w:style w:type="character" w:customStyle="1" w:styleId="Char5">
    <w:name w:val="标题 Char"/>
    <w:basedOn w:val="a2"/>
    <w:link w:val="a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4">
    <w:name w:val="副标题 Char"/>
    <w:basedOn w:val="a2"/>
    <w:link w:val="ac"/>
    <w:uiPriority w:val="11"/>
    <w:qFormat/>
    <w:rPr>
      <w:rFonts w:asciiTheme="majorHAnsi" w:eastAsiaTheme="majorEastAsia" w:hAnsiTheme="majorHAnsi" w:cstheme="majorBidi"/>
      <w:i/>
      <w:iCs/>
      <w:color w:val="4F81BD" w:themeColor="accent1"/>
      <w:spacing w:val="15"/>
      <w:sz w:val="24"/>
      <w:szCs w:val="24"/>
    </w:rPr>
  </w:style>
  <w:style w:type="paragraph" w:styleId="afa">
    <w:name w:val="List Paragraph"/>
    <w:basedOn w:val="a1"/>
    <w:uiPriority w:val="34"/>
    <w:qFormat/>
    <w:pPr>
      <w:ind w:left="720"/>
      <w:contextualSpacing/>
    </w:pPr>
  </w:style>
  <w:style w:type="character" w:customStyle="1" w:styleId="Char0">
    <w:name w:val="正文文本 Char"/>
    <w:basedOn w:val="a2"/>
    <w:link w:val="a7"/>
    <w:uiPriority w:val="99"/>
    <w:qFormat/>
  </w:style>
  <w:style w:type="character" w:customStyle="1" w:styleId="2Char0">
    <w:name w:val="正文文本 2 Char"/>
    <w:basedOn w:val="a2"/>
    <w:link w:val="23"/>
    <w:uiPriority w:val="99"/>
    <w:qFormat/>
  </w:style>
  <w:style w:type="character" w:customStyle="1" w:styleId="3Char0">
    <w:name w:val="正文文本 3 Char"/>
    <w:basedOn w:val="a2"/>
    <w:link w:val="33"/>
    <w:uiPriority w:val="99"/>
    <w:qFormat/>
    <w:rPr>
      <w:sz w:val="16"/>
      <w:szCs w:val="16"/>
    </w:rPr>
  </w:style>
  <w:style w:type="character" w:customStyle="1" w:styleId="Char">
    <w:name w:val="宏文本 Char"/>
    <w:basedOn w:val="a2"/>
    <w:link w:val="a5"/>
    <w:uiPriority w:val="99"/>
    <w:qFormat/>
    <w:rPr>
      <w:rFonts w:ascii="Courier" w:hAnsi="Courier"/>
      <w:sz w:val="20"/>
      <w:szCs w:val="20"/>
    </w:rPr>
  </w:style>
  <w:style w:type="paragraph" w:styleId="afb">
    <w:name w:val="Quote"/>
    <w:basedOn w:val="a1"/>
    <w:next w:val="a1"/>
    <w:link w:val="Char6"/>
    <w:uiPriority w:val="29"/>
    <w:qFormat/>
    <w:rPr>
      <w:i/>
      <w:iCs/>
      <w:color w:val="000000" w:themeColor="text1"/>
    </w:rPr>
  </w:style>
  <w:style w:type="character" w:customStyle="1" w:styleId="Char6">
    <w:name w:val="引用 Char"/>
    <w:basedOn w:val="a2"/>
    <w:link w:val="afb"/>
    <w:uiPriority w:val="29"/>
    <w:qFormat/>
    <w:rPr>
      <w:i/>
      <w:iCs/>
      <w:color w:val="000000" w:themeColor="text1"/>
    </w:rPr>
  </w:style>
  <w:style w:type="character" w:customStyle="1" w:styleId="4Char">
    <w:name w:val="标题 4 Char"/>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qFormat/>
    <w:rPr>
      <w:rFonts w:asciiTheme="majorHAnsi" w:eastAsiaTheme="majorEastAsia" w:hAnsiTheme="majorHAnsi" w:cstheme="majorBidi"/>
      <w:color w:val="244061" w:themeColor="accent1" w:themeShade="80"/>
    </w:rPr>
  </w:style>
  <w:style w:type="character" w:customStyle="1" w:styleId="6Char">
    <w:name w:val="标题 6 Char"/>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Char">
    <w:name w:val="标题 7 Char"/>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c">
    <w:name w:val="Intense Quote"/>
    <w:basedOn w:val="a1"/>
    <w:next w:val="a1"/>
    <w:link w:val="Char7"/>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7">
    <w:name w:val="明显引用 Char"/>
    <w:basedOn w:val="a2"/>
    <w:link w:val="afc"/>
    <w:uiPriority w:val="30"/>
    <w:qFormat/>
    <w:rPr>
      <w:b/>
      <w:bCs/>
      <w:i/>
      <w:iCs/>
      <w:color w:val="4F81BD" w:themeColor="accent1"/>
    </w:rPr>
  </w:style>
  <w:style w:type="character" w:customStyle="1" w:styleId="13">
    <w:name w:val="不明显强调1"/>
    <w:basedOn w:val="a2"/>
    <w:uiPriority w:val="19"/>
    <w:qFormat/>
    <w:rPr>
      <w:i/>
      <w:iCs/>
      <w:color w:val="7F7F7F" w:themeColor="text1" w:themeTint="80"/>
    </w:rPr>
  </w:style>
  <w:style w:type="character" w:customStyle="1" w:styleId="14">
    <w:name w:val="明显强调1"/>
    <w:basedOn w:val="a2"/>
    <w:uiPriority w:val="21"/>
    <w:qFormat/>
    <w:rPr>
      <w:b/>
      <w:bCs/>
      <w:i/>
      <w:iCs/>
      <w:color w:val="4F81BD" w:themeColor="accent1"/>
    </w:rPr>
  </w:style>
  <w:style w:type="character" w:customStyle="1" w:styleId="15">
    <w:name w:val="不明显参考1"/>
    <w:basedOn w:val="a2"/>
    <w:uiPriority w:val="31"/>
    <w:qFormat/>
    <w:rPr>
      <w:smallCaps/>
      <w:color w:val="C0504D" w:themeColor="accent2"/>
      <w:u w:val="single"/>
    </w:rPr>
  </w:style>
  <w:style w:type="character" w:customStyle="1" w:styleId="16">
    <w:name w:val="明显参考1"/>
    <w:basedOn w:val="a2"/>
    <w:uiPriority w:val="32"/>
    <w:qFormat/>
    <w:rPr>
      <w:b/>
      <w:bCs/>
      <w:smallCaps/>
      <w:color w:val="C0504D" w:themeColor="accent2"/>
      <w:spacing w:val="5"/>
      <w:u w:val="single"/>
    </w:rPr>
  </w:style>
  <w:style w:type="character" w:customStyle="1" w:styleId="17">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 w:type="character" w:customStyle="1" w:styleId="Char1">
    <w:name w:val="批注框文本 Char"/>
    <w:basedOn w:val="a2"/>
    <w:link w:val="a9"/>
    <w:uiPriority w:val="99"/>
    <w:semiHidden/>
    <w:qFormat/>
    <w:rPr>
      <w:rFonts w:ascii="宋体" w:eastAsia="宋体" w:hAnsi="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A7A1A-B590-48E7-A807-921B4AA7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528</Words>
  <Characters>3010</Characters>
  <Application>Microsoft Office Word</Application>
  <DocSecurity>0</DocSecurity>
  <Lines>25</Lines>
  <Paragraphs>7</Paragraphs>
  <ScaleCrop>false</ScaleCrop>
  <Company>Sinopec</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微软中国</cp:lastModifiedBy>
  <cp:revision>68</cp:revision>
  <cp:lastPrinted>2026-05-05T04:14:00Z</cp:lastPrinted>
  <dcterms:created xsi:type="dcterms:W3CDTF">2013-12-23T23:15:00Z</dcterms:created>
  <dcterms:modified xsi:type="dcterms:W3CDTF">2026-05-19T07:31:00Z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96E9EF0C6EEB48229199527CA357FC19_13</vt:lpwstr>
  </property>
  <property fmtid="{D5CDD505-2E9C-101B-9397-08002B2CF9AE}" pid="4" name="KSOTemplateDocerSaveRecord">
    <vt:lpwstr>eyJoZGlkIjoiNmZkYzMxOTViODRiZDEzNWY5ZjVmMWI5NjE2NzUzZmUiLCJ1c2VySWQiOiI1ODI4MzYzODkifQ==</vt:lpwstr>
  </property>
</Properties>
</file>