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A6" w:rsidRPr="000D46A6" w:rsidRDefault="003213EE" w:rsidP="000D46A6">
      <w:pPr>
        <w:spacing w:after="0" w:line="576" w:lineRule="exact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仿宋_GB2312" w:eastAsia="仿宋_GB2312"/>
          <w:szCs w:val="32"/>
          <w:lang w:eastAsia="zh-CN"/>
        </w:rPr>
        <w:t>附件</w:t>
      </w:r>
      <w:r w:rsidRPr="000D46A6">
        <w:rPr>
          <w:rFonts w:ascii="仿宋_GB2312" w:eastAsia="仿宋_GB2312" w:hint="eastAsia"/>
          <w:szCs w:val="32"/>
          <w:lang w:eastAsia="zh-CN"/>
        </w:rPr>
        <w:t>1</w:t>
      </w:r>
    </w:p>
    <w:p w:rsidR="000D46A6" w:rsidRDefault="000D46A6" w:rsidP="000D46A6">
      <w:pPr>
        <w:spacing w:after="0" w:line="576" w:lineRule="exact"/>
        <w:ind w:left="1320" w:hangingChars="300" w:hanging="1320"/>
        <w:jc w:val="center"/>
        <w:rPr>
          <w:rFonts w:ascii="方正小标宋简体" w:eastAsia="方正小标宋简体" w:hAnsi="黑体"/>
          <w:sz w:val="44"/>
          <w:lang w:eastAsia="zh-CN"/>
        </w:rPr>
      </w:pPr>
    </w:p>
    <w:p w:rsidR="0048695E" w:rsidRDefault="003213EE" w:rsidP="000D46A6">
      <w:pPr>
        <w:spacing w:after="0" w:line="576" w:lineRule="exact"/>
        <w:ind w:left="1320" w:hangingChars="300" w:hanging="1320"/>
        <w:jc w:val="center"/>
        <w:rPr>
          <w:lang w:eastAsia="zh-CN"/>
        </w:rPr>
      </w:pPr>
      <w:r w:rsidRPr="000D46A6">
        <w:rPr>
          <w:rFonts w:ascii="方正小标宋简体" w:eastAsia="方正小标宋简体" w:hAnsi="黑体" w:hint="eastAsia"/>
          <w:sz w:val="44"/>
          <w:lang w:eastAsia="zh-CN"/>
        </w:rPr>
        <w:t>存量资源改建养老设施操作指引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为规范存量资源改建养老服务设施的操作流程，提高办事效率，根据《长春市推进存量资源改建养老服务设施实施办法》，制定本操作指引。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黑体" w:eastAsia="黑体" w:hAnsi="黑体" w:hint="eastAsia"/>
          <w:bCs/>
          <w:szCs w:val="32"/>
          <w:lang w:eastAsia="zh-CN"/>
        </w:rPr>
        <w:t>一、前期准备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（一）项目主体资格。</w:t>
      </w:r>
      <w:r>
        <w:rPr>
          <w:rFonts w:ascii="仿宋_GB2312" w:eastAsia="仿宋_GB2312" w:hint="eastAsia"/>
          <w:szCs w:val="32"/>
          <w:lang w:eastAsia="zh-CN"/>
        </w:rPr>
        <w:t>项目主体应当是依法设立的</w:t>
      </w:r>
      <w:r w:rsidR="00043E02">
        <w:rPr>
          <w:rFonts w:ascii="仿宋_GB2312" w:eastAsia="仿宋_GB2312" w:hint="eastAsia"/>
          <w:szCs w:val="32"/>
          <w:lang w:eastAsia="zh-CN"/>
        </w:rPr>
        <w:t>机关、</w:t>
      </w:r>
      <w:r>
        <w:rPr>
          <w:rFonts w:ascii="仿宋_GB2312" w:eastAsia="仿宋_GB2312" w:hint="eastAsia"/>
          <w:szCs w:val="32"/>
          <w:lang w:eastAsia="zh-CN"/>
        </w:rPr>
        <w:t>企</w:t>
      </w:r>
      <w:r w:rsidR="00043E02">
        <w:rPr>
          <w:rFonts w:ascii="仿宋_GB2312" w:eastAsia="仿宋_GB2312" w:hint="eastAsia"/>
          <w:szCs w:val="32"/>
          <w:lang w:eastAsia="zh-CN"/>
        </w:rPr>
        <w:t>事</w:t>
      </w:r>
      <w:r>
        <w:rPr>
          <w:rFonts w:ascii="仿宋_GB2312" w:eastAsia="仿宋_GB2312" w:hint="eastAsia"/>
          <w:szCs w:val="32"/>
          <w:lang w:eastAsia="zh-CN"/>
        </w:rPr>
        <w:t>业</w:t>
      </w:r>
      <w:r w:rsidR="00043E02">
        <w:rPr>
          <w:rFonts w:ascii="仿宋_GB2312" w:eastAsia="仿宋_GB2312" w:hint="eastAsia"/>
          <w:szCs w:val="32"/>
          <w:lang w:eastAsia="zh-CN"/>
        </w:rPr>
        <w:t>单位</w:t>
      </w:r>
      <w:r>
        <w:rPr>
          <w:rFonts w:ascii="仿宋_GB2312" w:eastAsia="仿宋_GB2312" w:hint="eastAsia"/>
          <w:szCs w:val="32"/>
          <w:lang w:eastAsia="zh-CN"/>
        </w:rPr>
        <w:t>、社会组织或个人，具有独立承担民事责任的能力。鼓励专业养老机构、养老服务企业参与改建。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（二）设施摸排与筛选。</w:t>
      </w:r>
      <w:r w:rsidR="00AA5E20" w:rsidRPr="00AA5E20">
        <w:rPr>
          <w:rFonts w:ascii="仿宋_GB2312" w:eastAsia="仿宋_GB2312" w:hint="eastAsia"/>
          <w:szCs w:val="32"/>
          <w:lang w:eastAsia="zh-CN"/>
        </w:rPr>
        <w:t>市</w:t>
      </w:r>
      <w:r w:rsidR="00AA5E20">
        <w:rPr>
          <w:rFonts w:ascii="仿宋_GB2312" w:eastAsia="仿宋_GB2312" w:hint="eastAsia"/>
          <w:szCs w:val="32"/>
          <w:lang w:eastAsia="zh-CN"/>
        </w:rPr>
        <w:t>、县（市）区</w:t>
      </w:r>
      <w:r>
        <w:rPr>
          <w:rFonts w:ascii="仿宋_GB2312" w:eastAsia="仿宋_GB2312" w:hint="eastAsia"/>
          <w:szCs w:val="32"/>
          <w:lang w:eastAsia="zh-CN"/>
        </w:rPr>
        <w:t>人民政府</w:t>
      </w:r>
      <w:r w:rsidR="00AA5E20">
        <w:rPr>
          <w:rFonts w:ascii="仿宋_GB2312" w:eastAsia="仿宋_GB2312" w:hint="eastAsia"/>
          <w:szCs w:val="32"/>
          <w:lang w:eastAsia="zh-CN"/>
        </w:rPr>
        <w:t>、</w:t>
      </w:r>
      <w:r w:rsidR="00AA5E20">
        <w:rPr>
          <w:rFonts w:ascii="仿宋_GB2312" w:eastAsia="仿宋_GB2312"/>
          <w:szCs w:val="32"/>
          <w:lang w:eastAsia="zh-CN"/>
        </w:rPr>
        <w:t>开发区管委会</w:t>
      </w:r>
      <w:r>
        <w:rPr>
          <w:rFonts w:ascii="仿宋_GB2312" w:eastAsia="仿宋_GB2312" w:hint="eastAsia"/>
          <w:szCs w:val="32"/>
          <w:lang w:eastAsia="zh-CN"/>
        </w:rPr>
        <w:t>应当定期组织存量设施摸排，重点筛查以下类型：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1.</w:t>
      </w:r>
      <w:r w:rsidR="003213EE">
        <w:rPr>
          <w:rFonts w:ascii="仿宋_GB2312" w:eastAsia="仿宋_GB2312" w:hint="eastAsia"/>
          <w:szCs w:val="32"/>
          <w:lang w:eastAsia="zh-CN"/>
        </w:rPr>
        <w:t>闲置的商业、办公、酒店、科研用房；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2.</w:t>
      </w:r>
      <w:r w:rsidR="003213EE">
        <w:rPr>
          <w:rFonts w:ascii="仿宋_GB2312" w:eastAsia="仿宋_GB2312" w:hint="eastAsia"/>
          <w:szCs w:val="32"/>
          <w:lang w:eastAsia="zh-CN"/>
        </w:rPr>
        <w:t>低效利用的工业厂房、仓储用房；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3.</w:t>
      </w:r>
      <w:r w:rsidR="003213EE">
        <w:rPr>
          <w:rFonts w:ascii="仿宋_GB2312" w:eastAsia="仿宋_GB2312" w:hint="eastAsia"/>
          <w:szCs w:val="32"/>
          <w:lang w:eastAsia="zh-CN"/>
        </w:rPr>
        <w:t>闲置的学校、基层医疗卫生机构用房；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4.</w:t>
      </w:r>
      <w:r w:rsidR="003213EE">
        <w:rPr>
          <w:rFonts w:ascii="仿宋_GB2312" w:eastAsia="仿宋_GB2312" w:hint="eastAsia"/>
          <w:szCs w:val="32"/>
          <w:lang w:eastAsia="zh-CN"/>
        </w:rPr>
        <w:t>党政机关、国有企事业单位闲置用房及培训中心、疗养院等。</w:t>
      </w:r>
    </w:p>
    <w:p w:rsidR="00D80528" w:rsidRDefault="00AA5E20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楷体_GB2312" w:eastAsia="楷体_GB2312" w:hint="eastAsia"/>
          <w:szCs w:val="32"/>
          <w:lang w:eastAsia="zh-CN"/>
        </w:rPr>
        <w:t>（三）</w:t>
      </w:r>
      <w:r w:rsidR="003213EE" w:rsidRPr="000D46A6">
        <w:rPr>
          <w:rFonts w:ascii="楷体_GB2312" w:eastAsia="楷体_GB2312" w:hint="eastAsia"/>
          <w:szCs w:val="32"/>
          <w:lang w:eastAsia="zh-CN"/>
        </w:rPr>
        <w:t>可行性</w:t>
      </w:r>
      <w:proofErr w:type="gramStart"/>
      <w:r w:rsidR="003213EE" w:rsidRPr="000D46A6">
        <w:rPr>
          <w:rFonts w:ascii="楷体_GB2312" w:eastAsia="楷体_GB2312" w:hint="eastAsia"/>
          <w:szCs w:val="32"/>
          <w:lang w:eastAsia="zh-CN"/>
        </w:rPr>
        <w:t>研</w:t>
      </w:r>
      <w:proofErr w:type="gramEnd"/>
      <w:r w:rsidR="003213EE" w:rsidRPr="000D46A6">
        <w:rPr>
          <w:rFonts w:ascii="楷体_GB2312" w:eastAsia="楷体_GB2312" w:hint="eastAsia"/>
          <w:szCs w:val="32"/>
          <w:lang w:eastAsia="zh-CN"/>
        </w:rPr>
        <w:t>判。</w:t>
      </w:r>
      <w:r w:rsidR="003213EE">
        <w:rPr>
          <w:rFonts w:ascii="仿宋_GB2312" w:eastAsia="仿宋_GB2312" w:hint="eastAsia"/>
          <w:szCs w:val="32"/>
          <w:lang w:eastAsia="zh-CN"/>
        </w:rPr>
        <w:t>项目主体在正式申请前，应当对拟改建设施进行初步</w:t>
      </w:r>
      <w:proofErr w:type="gramStart"/>
      <w:r w:rsidR="003213EE">
        <w:rPr>
          <w:rFonts w:ascii="仿宋_GB2312" w:eastAsia="仿宋_GB2312" w:hint="eastAsia"/>
          <w:szCs w:val="32"/>
          <w:lang w:eastAsia="zh-CN"/>
        </w:rPr>
        <w:t>研</w:t>
      </w:r>
      <w:proofErr w:type="gramEnd"/>
      <w:r w:rsidR="003213EE">
        <w:rPr>
          <w:rFonts w:ascii="仿宋_GB2312" w:eastAsia="仿宋_GB2312" w:hint="eastAsia"/>
          <w:szCs w:val="32"/>
          <w:lang w:eastAsia="zh-CN"/>
        </w:rPr>
        <w:t>判，重点包括：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1.</w:t>
      </w:r>
      <w:r w:rsidR="003213EE">
        <w:rPr>
          <w:rFonts w:ascii="仿宋_GB2312" w:eastAsia="仿宋_GB2312" w:hint="eastAsia"/>
          <w:szCs w:val="32"/>
          <w:lang w:eastAsia="zh-CN"/>
        </w:rPr>
        <w:t>房屋结构安全性：委托具有相应资质的机构进行房屋安全鉴定；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lastRenderedPageBreak/>
        <w:t>2.</w:t>
      </w:r>
      <w:r w:rsidR="003213EE">
        <w:rPr>
          <w:rFonts w:ascii="仿宋_GB2312" w:eastAsia="仿宋_GB2312" w:hint="eastAsia"/>
          <w:szCs w:val="32"/>
          <w:lang w:eastAsia="zh-CN"/>
        </w:rPr>
        <w:t>消防安全达标性：评估是否符合养老</w:t>
      </w:r>
      <w:proofErr w:type="gramStart"/>
      <w:r w:rsidR="003213EE">
        <w:rPr>
          <w:rFonts w:ascii="仿宋_GB2312" w:eastAsia="仿宋_GB2312" w:hint="eastAsia"/>
          <w:szCs w:val="32"/>
          <w:lang w:eastAsia="zh-CN"/>
        </w:rPr>
        <w:t>设施消防</w:t>
      </w:r>
      <w:proofErr w:type="gramEnd"/>
      <w:r w:rsidR="003213EE">
        <w:rPr>
          <w:rFonts w:ascii="仿宋_GB2312" w:eastAsia="仿宋_GB2312" w:hint="eastAsia"/>
          <w:szCs w:val="32"/>
          <w:lang w:eastAsia="zh-CN"/>
        </w:rPr>
        <w:t>安全要求；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3.</w:t>
      </w:r>
      <w:r w:rsidR="003213EE">
        <w:rPr>
          <w:rFonts w:ascii="仿宋_GB2312" w:eastAsia="仿宋_GB2312" w:hint="eastAsia"/>
          <w:szCs w:val="32"/>
          <w:lang w:eastAsia="zh-CN"/>
        </w:rPr>
        <w:t>规划符合性：确认是否纳入征收、改造或储备范围；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4.</w:t>
      </w:r>
      <w:r w:rsidR="003213EE">
        <w:rPr>
          <w:rFonts w:ascii="仿宋_GB2312" w:eastAsia="仿宋_GB2312" w:hint="eastAsia"/>
          <w:szCs w:val="32"/>
          <w:lang w:eastAsia="zh-CN"/>
        </w:rPr>
        <w:t>周边环境适宜性：评估交通、噪音、环境等条件是否适合老年人使用。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（四）改建方案编制。</w:t>
      </w:r>
      <w:r>
        <w:rPr>
          <w:rFonts w:ascii="仿宋_GB2312" w:eastAsia="仿宋_GB2312" w:hint="eastAsia"/>
          <w:szCs w:val="32"/>
          <w:lang w:eastAsia="zh-CN"/>
        </w:rPr>
        <w:t>项目主体应当委托具有相应资质的设计单位编制改建方案，方案应当包括：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1.</w:t>
      </w:r>
      <w:r w:rsidR="003213EE">
        <w:rPr>
          <w:rFonts w:ascii="仿宋_GB2312" w:eastAsia="仿宋_GB2312" w:hint="eastAsia"/>
          <w:szCs w:val="32"/>
          <w:lang w:eastAsia="zh-CN"/>
        </w:rPr>
        <w:t>项目概况（选址、规模、功能定位）；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2.</w:t>
      </w:r>
      <w:r w:rsidR="003213EE">
        <w:rPr>
          <w:rFonts w:ascii="仿宋_GB2312" w:eastAsia="仿宋_GB2312" w:hint="eastAsia"/>
          <w:szCs w:val="32"/>
          <w:lang w:eastAsia="zh-CN"/>
        </w:rPr>
        <w:t>功能布局图（分层平面布置图）；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3.</w:t>
      </w:r>
      <w:proofErr w:type="gramStart"/>
      <w:r w:rsidR="003213EE">
        <w:rPr>
          <w:rFonts w:ascii="仿宋_GB2312" w:eastAsia="仿宋_GB2312" w:hint="eastAsia"/>
          <w:szCs w:val="32"/>
          <w:lang w:eastAsia="zh-CN"/>
        </w:rPr>
        <w:t>适</w:t>
      </w:r>
      <w:proofErr w:type="gramEnd"/>
      <w:r w:rsidR="003213EE">
        <w:rPr>
          <w:rFonts w:ascii="仿宋_GB2312" w:eastAsia="仿宋_GB2312" w:hint="eastAsia"/>
          <w:szCs w:val="32"/>
          <w:lang w:eastAsia="zh-CN"/>
        </w:rPr>
        <w:t>老化设计说明（无障碍设施、紧急呼叫系统等）；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4.</w:t>
      </w:r>
      <w:r w:rsidR="003213EE">
        <w:rPr>
          <w:rFonts w:ascii="仿宋_GB2312" w:eastAsia="仿宋_GB2312" w:hint="eastAsia"/>
          <w:szCs w:val="32"/>
          <w:lang w:eastAsia="zh-CN"/>
        </w:rPr>
        <w:t>消防设计专篇；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5.</w:t>
      </w:r>
      <w:r w:rsidR="003213EE">
        <w:rPr>
          <w:rFonts w:ascii="仿宋_GB2312" w:eastAsia="仿宋_GB2312" w:hint="eastAsia"/>
          <w:szCs w:val="32"/>
          <w:lang w:eastAsia="zh-CN"/>
        </w:rPr>
        <w:t>投资估算和资金来源。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黑体" w:eastAsia="黑体" w:hAnsi="黑体" w:hint="eastAsia"/>
          <w:bCs/>
          <w:szCs w:val="32"/>
          <w:lang w:eastAsia="zh-CN"/>
        </w:rPr>
        <w:t>二、申请流程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（一）提出申请。</w:t>
      </w:r>
      <w:r>
        <w:rPr>
          <w:rFonts w:ascii="仿宋_GB2312" w:eastAsia="仿宋_GB2312" w:hint="eastAsia"/>
          <w:szCs w:val="32"/>
          <w:lang w:eastAsia="zh-CN"/>
        </w:rPr>
        <w:t>项目主体向拟改建设施所在地</w:t>
      </w:r>
      <w:r w:rsidR="00AA5E20">
        <w:rPr>
          <w:rFonts w:ascii="仿宋_GB2312" w:eastAsia="仿宋_GB2312" w:hint="eastAsia"/>
          <w:szCs w:val="32"/>
          <w:lang w:eastAsia="zh-CN"/>
        </w:rPr>
        <w:t>县（市）区</w:t>
      </w:r>
      <w:r w:rsidR="00AA5E20">
        <w:rPr>
          <w:rFonts w:ascii="仿宋_GB2312" w:eastAsia="仿宋_GB2312"/>
          <w:szCs w:val="32"/>
          <w:lang w:eastAsia="zh-CN"/>
        </w:rPr>
        <w:t>、开发区</w:t>
      </w:r>
      <w:r>
        <w:rPr>
          <w:rFonts w:ascii="仿宋_GB2312" w:eastAsia="仿宋_GB2312" w:hint="eastAsia"/>
          <w:szCs w:val="32"/>
          <w:lang w:eastAsia="zh-CN"/>
        </w:rPr>
        <w:t>民政部门提交书面申请。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（二）材料受理。</w:t>
      </w:r>
      <w:r>
        <w:rPr>
          <w:rFonts w:ascii="仿宋_GB2312" w:eastAsia="仿宋_GB2312" w:hint="eastAsia"/>
          <w:szCs w:val="32"/>
          <w:lang w:eastAsia="zh-CN"/>
        </w:rPr>
        <w:t>民政部门收到申报材料后，应当在</w:t>
      </w:r>
      <w:r w:rsidR="00B86565" w:rsidRPr="00B86565">
        <w:rPr>
          <w:rFonts w:ascii="仿宋_GB2312" w:eastAsia="仿宋_GB2312" w:hint="eastAsia"/>
          <w:szCs w:val="32"/>
          <w:lang w:eastAsia="zh-CN"/>
        </w:rPr>
        <w:t>10</w:t>
      </w:r>
      <w:r>
        <w:rPr>
          <w:rFonts w:ascii="仿宋_GB2312" w:eastAsia="仿宋_GB2312" w:hint="eastAsia"/>
          <w:szCs w:val="32"/>
          <w:lang w:eastAsia="zh-CN"/>
        </w:rPr>
        <w:t>个工作日内完成材料审查。材料齐全的，予以受理并出具受理通知书；材料不齐全的，一次性告知需补正的材料。</w:t>
      </w:r>
    </w:p>
    <w:p w:rsidR="00D80528" w:rsidRPr="00B86565" w:rsidRDefault="0065510B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楷体_GB2312" w:eastAsia="楷体_GB2312" w:hint="eastAsia"/>
          <w:szCs w:val="32"/>
          <w:lang w:eastAsia="zh-CN"/>
        </w:rPr>
        <w:t>（三）踏查</w:t>
      </w:r>
      <w:r w:rsidR="003213EE" w:rsidRPr="000D46A6">
        <w:rPr>
          <w:rFonts w:ascii="楷体_GB2312" w:eastAsia="楷体_GB2312" w:hint="eastAsia"/>
          <w:szCs w:val="32"/>
          <w:lang w:eastAsia="zh-CN"/>
        </w:rPr>
        <w:t>会商。</w:t>
      </w:r>
      <w:r w:rsidR="003213EE">
        <w:rPr>
          <w:rFonts w:ascii="仿宋_GB2312" w:eastAsia="仿宋_GB2312" w:hint="eastAsia"/>
          <w:szCs w:val="32"/>
          <w:lang w:eastAsia="zh-CN"/>
        </w:rPr>
        <w:t>民政部门受理后，应当在</w:t>
      </w:r>
      <w:r w:rsidR="00B86565">
        <w:rPr>
          <w:rFonts w:ascii="仿宋_GB2312" w:eastAsia="仿宋_GB2312" w:hint="eastAsia"/>
          <w:szCs w:val="32"/>
          <w:lang w:eastAsia="zh-CN"/>
        </w:rPr>
        <w:t>10</w:t>
      </w:r>
      <w:r>
        <w:rPr>
          <w:rFonts w:ascii="仿宋_GB2312" w:eastAsia="仿宋_GB2312" w:hint="eastAsia"/>
          <w:szCs w:val="32"/>
          <w:lang w:eastAsia="zh-CN"/>
        </w:rPr>
        <w:t>个工作日内报</w:t>
      </w:r>
      <w:r w:rsidR="00AA5E20">
        <w:rPr>
          <w:rFonts w:ascii="仿宋_GB2312" w:eastAsia="仿宋_GB2312" w:hint="eastAsia"/>
          <w:szCs w:val="32"/>
          <w:lang w:eastAsia="zh-CN"/>
        </w:rPr>
        <w:t>县（市）区人民政府、</w:t>
      </w:r>
      <w:r w:rsidR="00AA5E20">
        <w:rPr>
          <w:rFonts w:ascii="仿宋_GB2312" w:eastAsia="仿宋_GB2312"/>
          <w:szCs w:val="32"/>
          <w:lang w:eastAsia="zh-CN"/>
        </w:rPr>
        <w:t>开发区管委会</w:t>
      </w:r>
      <w:r w:rsidR="003213EE">
        <w:rPr>
          <w:rFonts w:ascii="仿宋_GB2312" w:eastAsia="仿宋_GB2312" w:hint="eastAsia"/>
          <w:szCs w:val="32"/>
          <w:lang w:eastAsia="zh-CN"/>
        </w:rPr>
        <w:t>，</w:t>
      </w:r>
      <w:r w:rsidR="00AA5E20">
        <w:rPr>
          <w:rFonts w:ascii="仿宋_GB2312" w:eastAsia="仿宋_GB2312" w:hint="eastAsia"/>
          <w:szCs w:val="32"/>
          <w:lang w:eastAsia="zh-CN"/>
        </w:rPr>
        <w:t>县（市）区人民政府、</w:t>
      </w:r>
      <w:r w:rsidR="00AA5E20">
        <w:rPr>
          <w:rFonts w:ascii="仿宋_GB2312" w:eastAsia="仿宋_GB2312"/>
          <w:szCs w:val="32"/>
          <w:lang w:eastAsia="zh-CN"/>
        </w:rPr>
        <w:t>开发区管委会</w:t>
      </w:r>
      <w:r w:rsidR="003213EE" w:rsidRPr="00B86565">
        <w:rPr>
          <w:rFonts w:ascii="仿宋_GB2312" w:eastAsia="仿宋_GB2312" w:hint="eastAsia"/>
          <w:szCs w:val="32"/>
          <w:lang w:eastAsia="zh-CN"/>
        </w:rPr>
        <w:t>组织</w:t>
      </w:r>
      <w:r w:rsidRPr="00B86565">
        <w:rPr>
          <w:rFonts w:ascii="仿宋_GB2312" w:eastAsia="仿宋_GB2312" w:hint="eastAsia"/>
          <w:szCs w:val="32"/>
          <w:lang w:eastAsia="zh-CN"/>
        </w:rPr>
        <w:t>相关</w:t>
      </w:r>
      <w:r w:rsidR="003213EE" w:rsidRPr="00B86565">
        <w:rPr>
          <w:rFonts w:ascii="仿宋_GB2312" w:eastAsia="仿宋_GB2312" w:hint="eastAsia"/>
          <w:szCs w:val="32"/>
          <w:lang w:eastAsia="zh-CN"/>
        </w:rPr>
        <w:t>部门</w:t>
      </w:r>
      <w:r w:rsidRPr="00B86565">
        <w:rPr>
          <w:rFonts w:ascii="仿宋_GB2312" w:eastAsia="仿宋_GB2312" w:hint="eastAsia"/>
          <w:szCs w:val="32"/>
          <w:lang w:eastAsia="zh-CN"/>
        </w:rPr>
        <w:t>、</w:t>
      </w:r>
      <w:r w:rsidRPr="00B86565">
        <w:rPr>
          <w:rFonts w:ascii="仿宋_GB2312" w:eastAsia="仿宋_GB2312"/>
          <w:szCs w:val="32"/>
          <w:lang w:eastAsia="zh-CN"/>
        </w:rPr>
        <w:t>乡镇（</w:t>
      </w:r>
      <w:r w:rsidRPr="00B86565">
        <w:rPr>
          <w:rFonts w:ascii="仿宋_GB2312" w:eastAsia="仿宋_GB2312" w:hint="eastAsia"/>
          <w:szCs w:val="32"/>
          <w:lang w:eastAsia="zh-CN"/>
        </w:rPr>
        <w:t>街道</w:t>
      </w:r>
      <w:r w:rsidRPr="00B86565">
        <w:rPr>
          <w:rFonts w:ascii="仿宋_GB2312" w:eastAsia="仿宋_GB2312"/>
          <w:szCs w:val="32"/>
          <w:lang w:eastAsia="zh-CN"/>
        </w:rPr>
        <w:t>）</w:t>
      </w:r>
      <w:r w:rsidR="003213EE" w:rsidRPr="00B86565">
        <w:rPr>
          <w:rFonts w:ascii="仿宋_GB2312" w:eastAsia="仿宋_GB2312" w:hint="eastAsia"/>
          <w:szCs w:val="32"/>
          <w:lang w:eastAsia="zh-CN"/>
        </w:rPr>
        <w:t>进行</w:t>
      </w:r>
      <w:r w:rsidRPr="00B86565">
        <w:rPr>
          <w:rFonts w:ascii="仿宋_GB2312" w:eastAsia="仿宋_GB2312" w:hint="eastAsia"/>
          <w:szCs w:val="32"/>
          <w:lang w:eastAsia="zh-CN"/>
        </w:rPr>
        <w:t>实地踏</w:t>
      </w:r>
      <w:r w:rsidRPr="00B86565">
        <w:rPr>
          <w:rFonts w:ascii="仿宋_GB2312" w:eastAsia="仿宋_GB2312"/>
          <w:szCs w:val="32"/>
          <w:lang w:eastAsia="zh-CN"/>
        </w:rPr>
        <w:t>查</w:t>
      </w:r>
      <w:r w:rsidRPr="00B86565">
        <w:rPr>
          <w:rFonts w:ascii="仿宋_GB2312" w:eastAsia="仿宋_GB2312" w:hint="eastAsia"/>
          <w:szCs w:val="32"/>
          <w:lang w:eastAsia="zh-CN"/>
        </w:rPr>
        <w:t>，</w:t>
      </w:r>
      <w:r w:rsidRPr="00B86565">
        <w:rPr>
          <w:rFonts w:ascii="仿宋_GB2312" w:eastAsia="仿宋_GB2312"/>
          <w:szCs w:val="32"/>
          <w:lang w:eastAsia="zh-CN"/>
        </w:rPr>
        <w:t>根据探查情况组织</w:t>
      </w:r>
      <w:r w:rsidRPr="00B86565">
        <w:rPr>
          <w:rFonts w:ascii="仿宋_GB2312" w:eastAsia="仿宋_GB2312" w:hint="eastAsia"/>
          <w:szCs w:val="32"/>
          <w:lang w:eastAsia="zh-CN"/>
        </w:rPr>
        <w:t>相关</w:t>
      </w:r>
      <w:r w:rsidRPr="00B86565">
        <w:rPr>
          <w:rFonts w:ascii="仿宋_GB2312" w:eastAsia="仿宋_GB2312"/>
          <w:szCs w:val="32"/>
          <w:lang w:eastAsia="zh-CN"/>
        </w:rPr>
        <w:t>部门</w:t>
      </w:r>
      <w:r w:rsidRPr="00B86565">
        <w:rPr>
          <w:rFonts w:ascii="仿宋_GB2312" w:eastAsia="仿宋_GB2312" w:hint="eastAsia"/>
          <w:szCs w:val="32"/>
          <w:lang w:eastAsia="zh-CN"/>
        </w:rPr>
        <w:t>、</w:t>
      </w:r>
      <w:r w:rsidRPr="00B86565">
        <w:rPr>
          <w:rFonts w:ascii="仿宋_GB2312" w:eastAsia="仿宋_GB2312"/>
          <w:szCs w:val="32"/>
          <w:lang w:eastAsia="zh-CN"/>
        </w:rPr>
        <w:t>乡镇</w:t>
      </w:r>
      <w:r w:rsidRPr="00B86565">
        <w:rPr>
          <w:rFonts w:ascii="仿宋_GB2312" w:eastAsia="仿宋_GB2312" w:hint="eastAsia"/>
          <w:szCs w:val="32"/>
          <w:lang w:eastAsia="zh-CN"/>
        </w:rPr>
        <w:t>（街道）进行</w:t>
      </w:r>
      <w:r w:rsidR="003213EE" w:rsidRPr="00B86565">
        <w:rPr>
          <w:rFonts w:ascii="仿宋_GB2312" w:eastAsia="仿宋_GB2312" w:hint="eastAsia"/>
          <w:szCs w:val="32"/>
          <w:lang w:eastAsia="zh-CN"/>
        </w:rPr>
        <w:t>会商：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lastRenderedPageBreak/>
        <w:t>1.</w:t>
      </w:r>
      <w:r w:rsidR="003213EE">
        <w:rPr>
          <w:rFonts w:ascii="仿宋_GB2312" w:eastAsia="仿宋_GB2312" w:hint="eastAsia"/>
          <w:szCs w:val="32"/>
          <w:lang w:eastAsia="zh-CN"/>
        </w:rPr>
        <w:t>民政部门：审查项目是否符合养老服务设施布局规划，提出运营监管要求；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2.</w:t>
      </w:r>
      <w:r w:rsidR="003213EE">
        <w:rPr>
          <w:rFonts w:ascii="仿宋_GB2312" w:eastAsia="仿宋_GB2312" w:hint="eastAsia"/>
          <w:szCs w:val="32"/>
          <w:lang w:eastAsia="zh-CN"/>
        </w:rPr>
        <w:t>规划和自然资源部门：审查是否符合国土空间规划，是否有土地收储计划；</w:t>
      </w:r>
    </w:p>
    <w:p w:rsidR="00FC1648" w:rsidRPr="00FC1648" w:rsidRDefault="00FC1648" w:rsidP="00D80528">
      <w:pPr>
        <w:spacing w:after="0" w:line="576" w:lineRule="exact"/>
        <w:ind w:firstLineChars="200" w:firstLine="640"/>
        <w:jc w:val="both"/>
        <w:rPr>
          <w:rFonts w:ascii="仿宋_GB2312" w:eastAsia="仿宋_GB2312" w:hint="eastAsia"/>
          <w:szCs w:val="32"/>
          <w:lang w:eastAsia="zh-CN"/>
        </w:rPr>
      </w:pPr>
      <w:r>
        <w:rPr>
          <w:rFonts w:ascii="仿宋_GB2312" w:eastAsia="仿宋_GB2312"/>
          <w:szCs w:val="32"/>
          <w:lang w:eastAsia="zh-CN"/>
        </w:rPr>
        <w:t>3.</w:t>
      </w:r>
      <w:r>
        <w:rPr>
          <w:rFonts w:ascii="仿宋_GB2312" w:eastAsia="仿宋_GB2312" w:hint="eastAsia"/>
          <w:szCs w:val="32"/>
          <w:lang w:eastAsia="zh-CN"/>
        </w:rPr>
        <w:t>房管</w:t>
      </w:r>
      <w:r>
        <w:rPr>
          <w:rFonts w:ascii="仿宋_GB2312" w:eastAsia="仿宋_GB2312"/>
          <w:szCs w:val="32"/>
          <w:lang w:eastAsia="zh-CN"/>
        </w:rPr>
        <w:t>部门：</w:t>
      </w:r>
      <w:r>
        <w:rPr>
          <w:rFonts w:ascii="仿宋_GB2312" w:eastAsia="仿宋_GB2312" w:hint="eastAsia"/>
          <w:szCs w:val="32"/>
          <w:lang w:eastAsia="zh-CN"/>
        </w:rPr>
        <w:t>评估</w:t>
      </w:r>
      <w:r>
        <w:rPr>
          <w:rFonts w:ascii="仿宋_GB2312" w:eastAsia="仿宋_GB2312" w:hint="eastAsia"/>
          <w:szCs w:val="32"/>
          <w:lang w:eastAsia="zh-CN"/>
        </w:rPr>
        <w:t>存量</w:t>
      </w:r>
      <w:r>
        <w:rPr>
          <w:rFonts w:ascii="仿宋_GB2312" w:eastAsia="仿宋_GB2312"/>
          <w:szCs w:val="32"/>
          <w:lang w:eastAsia="zh-CN"/>
        </w:rPr>
        <w:t>资源</w:t>
      </w:r>
      <w:r>
        <w:rPr>
          <w:rFonts w:ascii="仿宋_GB2312" w:eastAsia="仿宋_GB2312"/>
          <w:szCs w:val="32"/>
          <w:lang w:eastAsia="zh-CN"/>
        </w:rPr>
        <w:t>建筑</w:t>
      </w:r>
      <w:r>
        <w:rPr>
          <w:rFonts w:ascii="仿宋_GB2312" w:eastAsia="仿宋_GB2312" w:hint="eastAsia"/>
          <w:szCs w:val="32"/>
          <w:lang w:eastAsia="zh-CN"/>
        </w:rPr>
        <w:t>结构</w:t>
      </w:r>
      <w:r>
        <w:rPr>
          <w:rFonts w:ascii="仿宋_GB2312" w:eastAsia="仿宋_GB2312"/>
          <w:szCs w:val="32"/>
          <w:lang w:eastAsia="zh-CN"/>
        </w:rPr>
        <w:t>安全性；</w:t>
      </w:r>
    </w:p>
    <w:p w:rsidR="00D80528" w:rsidRDefault="007D05BB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/>
          <w:szCs w:val="32"/>
          <w:lang w:eastAsia="zh-CN"/>
        </w:rPr>
        <w:t>4</w:t>
      </w:r>
      <w:r w:rsidR="00D80528">
        <w:rPr>
          <w:rFonts w:ascii="仿宋_GB2312" w:eastAsia="仿宋_GB2312" w:hint="eastAsia"/>
          <w:szCs w:val="32"/>
          <w:lang w:eastAsia="zh-CN"/>
        </w:rPr>
        <w:t>.</w:t>
      </w:r>
      <w:r w:rsidR="003213EE">
        <w:rPr>
          <w:rFonts w:ascii="仿宋_GB2312" w:eastAsia="仿宋_GB2312" w:hint="eastAsia"/>
          <w:szCs w:val="32"/>
          <w:lang w:eastAsia="zh-CN"/>
        </w:rPr>
        <w:t>生态环境部门：</w:t>
      </w:r>
      <w:r w:rsidR="003D515A" w:rsidRPr="003D515A">
        <w:rPr>
          <w:rFonts w:ascii="仿宋_GB2312" w:eastAsia="仿宋_GB2312" w:hint="eastAsia"/>
          <w:szCs w:val="32"/>
          <w:lang w:eastAsia="zh-CN"/>
        </w:rPr>
        <w:t>审查项目用地是否依法开展过土壤污染状况调查，调查结果是否符合用地要求</w:t>
      </w:r>
      <w:r w:rsidR="003213EE">
        <w:rPr>
          <w:rFonts w:ascii="仿宋_GB2312" w:eastAsia="仿宋_GB2312" w:hint="eastAsia"/>
          <w:szCs w:val="32"/>
          <w:lang w:eastAsia="zh-CN"/>
        </w:rPr>
        <w:t>；</w:t>
      </w:r>
    </w:p>
    <w:p w:rsidR="00D80528" w:rsidRDefault="007D05BB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/>
          <w:szCs w:val="32"/>
          <w:lang w:eastAsia="zh-CN"/>
        </w:rPr>
        <w:t>5</w:t>
      </w:r>
      <w:r w:rsidR="00D80528">
        <w:rPr>
          <w:rFonts w:ascii="仿宋_GB2312" w:eastAsia="仿宋_GB2312" w:hint="eastAsia"/>
          <w:szCs w:val="32"/>
          <w:lang w:eastAsia="zh-CN"/>
        </w:rPr>
        <w:t>.</w:t>
      </w:r>
      <w:r w:rsidR="003213EE">
        <w:rPr>
          <w:rFonts w:ascii="仿宋_GB2312" w:eastAsia="仿宋_GB2312" w:hint="eastAsia"/>
          <w:szCs w:val="32"/>
          <w:lang w:eastAsia="zh-CN"/>
        </w:rPr>
        <w:t>卫生健康部门：审查</w:t>
      </w:r>
      <w:proofErr w:type="gramStart"/>
      <w:r w:rsidR="003213EE">
        <w:rPr>
          <w:rFonts w:ascii="仿宋_GB2312" w:eastAsia="仿宋_GB2312" w:hint="eastAsia"/>
          <w:szCs w:val="32"/>
          <w:lang w:eastAsia="zh-CN"/>
        </w:rPr>
        <w:t>医</w:t>
      </w:r>
      <w:proofErr w:type="gramEnd"/>
      <w:r w:rsidR="003213EE">
        <w:rPr>
          <w:rFonts w:ascii="仿宋_GB2312" w:eastAsia="仿宋_GB2312" w:hint="eastAsia"/>
          <w:szCs w:val="32"/>
          <w:lang w:eastAsia="zh-CN"/>
        </w:rPr>
        <w:t>养结合设施的医疗资质要求；</w:t>
      </w:r>
    </w:p>
    <w:p w:rsidR="00D80528" w:rsidRDefault="007D05BB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/>
          <w:szCs w:val="32"/>
          <w:lang w:eastAsia="zh-CN"/>
        </w:rPr>
        <w:t>6</w:t>
      </w:r>
      <w:r w:rsidR="00D80528">
        <w:rPr>
          <w:rFonts w:ascii="仿宋_GB2312" w:eastAsia="仿宋_GB2312" w:hint="eastAsia"/>
          <w:szCs w:val="32"/>
          <w:lang w:eastAsia="zh-CN"/>
        </w:rPr>
        <w:t>.</w:t>
      </w:r>
      <w:r w:rsidR="003213EE">
        <w:rPr>
          <w:rFonts w:ascii="仿宋_GB2312" w:eastAsia="仿宋_GB2312" w:hint="eastAsia"/>
          <w:szCs w:val="32"/>
          <w:lang w:eastAsia="zh-CN"/>
        </w:rPr>
        <w:t>街道（乡镇）：就项目必要性、周边居民影响等提出意见。</w:t>
      </w:r>
      <w:bookmarkStart w:id="0" w:name="_GoBack"/>
      <w:bookmarkEnd w:id="0"/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（四）会商议定。</w:t>
      </w:r>
      <w:r>
        <w:rPr>
          <w:rFonts w:ascii="仿宋_GB2312" w:eastAsia="仿宋_GB2312" w:hint="eastAsia"/>
          <w:szCs w:val="32"/>
          <w:lang w:eastAsia="zh-CN"/>
        </w:rPr>
        <w:t>会商应当形成会议纪要，明确以下事项：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1.</w:t>
      </w:r>
      <w:r w:rsidR="003213EE">
        <w:rPr>
          <w:rFonts w:ascii="仿宋_GB2312" w:eastAsia="仿宋_GB2312" w:hint="eastAsia"/>
          <w:szCs w:val="32"/>
          <w:lang w:eastAsia="zh-CN"/>
        </w:rPr>
        <w:t>是否同意改建；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2.</w:t>
      </w:r>
      <w:r w:rsidR="003213EE">
        <w:rPr>
          <w:rFonts w:ascii="仿宋_GB2312" w:eastAsia="仿宋_GB2312" w:hint="eastAsia"/>
          <w:szCs w:val="32"/>
          <w:lang w:eastAsia="zh-CN"/>
        </w:rPr>
        <w:t>各部门提出的改进意见或要求；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3.</w:t>
      </w:r>
      <w:r w:rsidR="003213EE">
        <w:rPr>
          <w:rFonts w:ascii="仿宋_GB2312" w:eastAsia="仿宋_GB2312" w:hint="eastAsia"/>
          <w:szCs w:val="32"/>
          <w:lang w:eastAsia="zh-CN"/>
        </w:rPr>
        <w:t>办理各项审批手续的责任部门和时限；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4.</w:t>
      </w:r>
      <w:r w:rsidR="003213EE">
        <w:rPr>
          <w:rFonts w:ascii="仿宋_GB2312" w:eastAsia="仿宋_GB2312" w:hint="eastAsia"/>
          <w:szCs w:val="32"/>
          <w:lang w:eastAsia="zh-CN"/>
        </w:rPr>
        <w:t>过渡期管理要求和期限。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（五）审批手续办理。</w:t>
      </w:r>
      <w:r>
        <w:rPr>
          <w:rFonts w:ascii="仿宋_GB2312" w:eastAsia="仿宋_GB2312" w:hint="eastAsia"/>
          <w:szCs w:val="32"/>
          <w:lang w:eastAsia="zh-CN"/>
        </w:rPr>
        <w:t>项目主体根据会议纪要，按以下顺序办理相关手续：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1.</w:t>
      </w:r>
      <w:r w:rsidR="003213EE">
        <w:rPr>
          <w:rFonts w:ascii="仿宋_GB2312" w:eastAsia="仿宋_GB2312" w:hint="eastAsia"/>
          <w:szCs w:val="32"/>
          <w:lang w:eastAsia="zh-CN"/>
        </w:rPr>
        <w:t>向规划和自然资源部门申请临时改变房屋用途许可；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2.</w:t>
      </w:r>
      <w:r w:rsidR="003213EE">
        <w:rPr>
          <w:rFonts w:ascii="仿宋_GB2312" w:eastAsia="仿宋_GB2312" w:hint="eastAsia"/>
          <w:szCs w:val="32"/>
          <w:lang w:eastAsia="zh-CN"/>
        </w:rPr>
        <w:t>委托设计单位编制施工图设计文件；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3.</w:t>
      </w:r>
      <w:r w:rsidR="00DC14E1">
        <w:rPr>
          <w:rFonts w:ascii="仿宋_GB2312" w:eastAsia="仿宋_GB2312" w:hint="eastAsia"/>
          <w:szCs w:val="32"/>
          <w:lang w:eastAsia="zh-CN"/>
        </w:rPr>
        <w:t>向</w:t>
      </w:r>
      <w:r w:rsidR="003213EE">
        <w:rPr>
          <w:rFonts w:ascii="仿宋_GB2312" w:eastAsia="仿宋_GB2312" w:hint="eastAsia"/>
          <w:szCs w:val="32"/>
          <w:lang w:eastAsia="zh-CN"/>
        </w:rPr>
        <w:t>城乡建设部门申请施工图审查</w:t>
      </w:r>
      <w:r w:rsidR="00DC14E1">
        <w:rPr>
          <w:rFonts w:ascii="仿宋_GB2312" w:eastAsia="仿宋_GB2312" w:hint="eastAsia"/>
          <w:szCs w:val="32"/>
          <w:lang w:eastAsia="zh-CN"/>
        </w:rPr>
        <w:t>备案</w:t>
      </w:r>
      <w:r w:rsidR="003213EE">
        <w:rPr>
          <w:rFonts w:ascii="仿宋_GB2312" w:eastAsia="仿宋_GB2312" w:hint="eastAsia"/>
          <w:szCs w:val="32"/>
          <w:lang w:eastAsia="zh-CN"/>
        </w:rPr>
        <w:t>和施工许可；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4.</w:t>
      </w:r>
      <w:r w:rsidR="003213EE">
        <w:rPr>
          <w:rFonts w:ascii="仿宋_GB2312" w:eastAsia="仿宋_GB2312" w:hint="eastAsia"/>
          <w:szCs w:val="32"/>
          <w:lang w:eastAsia="zh-CN"/>
        </w:rPr>
        <w:t>向消防救援部门申请消防设计审查；</w:t>
      </w:r>
    </w:p>
    <w:p w:rsidR="00D80528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5.</w:t>
      </w:r>
      <w:r w:rsidR="003213EE">
        <w:rPr>
          <w:rFonts w:ascii="仿宋_GB2312" w:eastAsia="仿宋_GB2312" w:hint="eastAsia"/>
          <w:szCs w:val="32"/>
          <w:lang w:eastAsia="zh-CN"/>
        </w:rPr>
        <w:t>涉及医疗机构的，向卫生健康部门申请</w:t>
      </w:r>
      <w:r w:rsidR="00FE7DFB">
        <w:rPr>
          <w:rFonts w:ascii="仿宋_GB2312" w:eastAsia="仿宋_GB2312" w:hint="eastAsia"/>
          <w:szCs w:val="32"/>
          <w:lang w:eastAsia="zh-CN"/>
        </w:rPr>
        <w:t>备案或</w:t>
      </w:r>
      <w:r w:rsidR="003213EE">
        <w:rPr>
          <w:rFonts w:ascii="仿宋_GB2312" w:eastAsia="仿宋_GB2312" w:hint="eastAsia"/>
          <w:szCs w:val="32"/>
          <w:lang w:eastAsia="zh-CN"/>
        </w:rPr>
        <w:t>审批。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lastRenderedPageBreak/>
        <w:t>（六）施工建设。</w:t>
      </w:r>
      <w:r>
        <w:rPr>
          <w:rFonts w:ascii="仿宋_GB2312" w:eastAsia="仿宋_GB2312" w:hint="eastAsia"/>
          <w:szCs w:val="32"/>
          <w:lang w:eastAsia="zh-CN"/>
        </w:rPr>
        <w:t>项目主体应当严格按照批准的施工图设计文件组织施工，不得擅自变更设计。确需变更的，应当报原审批部门批准。</w:t>
      </w:r>
    </w:p>
    <w:p w:rsidR="00D80528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（七）竣工验收。</w:t>
      </w:r>
      <w:r w:rsidR="00B86565">
        <w:rPr>
          <w:rFonts w:ascii="仿宋_GB2312" w:eastAsia="仿宋_GB2312" w:hint="eastAsia"/>
          <w:szCs w:val="32"/>
          <w:lang w:eastAsia="zh-CN"/>
        </w:rPr>
        <w:t>项目竣工后，县级民政部门</w:t>
      </w:r>
      <w:r>
        <w:rPr>
          <w:rFonts w:ascii="仿宋_GB2312" w:eastAsia="仿宋_GB2312" w:hint="eastAsia"/>
          <w:szCs w:val="32"/>
          <w:lang w:eastAsia="zh-CN"/>
        </w:rPr>
        <w:t>应当组织设计、施工、监理等单位进行竣工验收，</w:t>
      </w:r>
      <w:r w:rsidR="00B86565">
        <w:rPr>
          <w:rFonts w:ascii="仿宋_GB2312" w:eastAsia="仿宋_GB2312" w:hint="eastAsia"/>
          <w:szCs w:val="32"/>
          <w:lang w:eastAsia="zh-CN"/>
        </w:rPr>
        <w:t>项目</w:t>
      </w:r>
      <w:r w:rsidR="00B86565">
        <w:rPr>
          <w:rFonts w:ascii="仿宋_GB2312" w:eastAsia="仿宋_GB2312"/>
          <w:szCs w:val="32"/>
          <w:lang w:eastAsia="zh-CN"/>
        </w:rPr>
        <w:t>主体</w:t>
      </w:r>
      <w:r w:rsidR="00B86565" w:rsidRPr="00B86565">
        <w:rPr>
          <w:rFonts w:ascii="仿宋_GB2312" w:eastAsia="仿宋_GB2312" w:hint="eastAsia"/>
          <w:szCs w:val="32"/>
          <w:lang w:eastAsia="zh-CN"/>
        </w:rPr>
        <w:t>按有关规定</w:t>
      </w:r>
      <w:r w:rsidR="0065510B" w:rsidRPr="00B86565">
        <w:rPr>
          <w:rFonts w:ascii="仿宋_GB2312" w:eastAsia="仿宋_GB2312" w:hint="eastAsia"/>
          <w:szCs w:val="32"/>
          <w:lang w:eastAsia="zh-CN"/>
        </w:rPr>
        <w:t>向</w:t>
      </w:r>
      <w:r w:rsidRPr="00B86565">
        <w:rPr>
          <w:rFonts w:ascii="仿宋_GB2312" w:eastAsia="仿宋_GB2312" w:hint="eastAsia"/>
          <w:szCs w:val="32"/>
          <w:lang w:eastAsia="zh-CN"/>
        </w:rPr>
        <w:t>住房和城乡建设部门申请消防验收或备案。</w:t>
      </w:r>
    </w:p>
    <w:p w:rsidR="0048695E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0D46A6">
        <w:rPr>
          <w:rFonts w:ascii="楷体_GB2312" w:eastAsia="楷体_GB2312" w:hint="eastAsia"/>
          <w:szCs w:val="32"/>
          <w:lang w:eastAsia="zh-CN"/>
        </w:rPr>
        <w:t>（八）备案登记。</w:t>
      </w:r>
      <w:r>
        <w:rPr>
          <w:rFonts w:ascii="仿宋_GB2312" w:eastAsia="仿宋_GB2312" w:hint="eastAsia"/>
          <w:szCs w:val="32"/>
          <w:lang w:eastAsia="zh-CN"/>
        </w:rPr>
        <w:t>竣工验收合格后，项目主体应当在30日内向民政部门申请养老机构备案或运营登记。民政部门应当在收到申请后5个工作日内完成备案并发放备案回执。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黑体" w:eastAsia="黑体" w:hAnsi="黑体"/>
          <w:bCs/>
          <w:szCs w:val="32"/>
          <w:lang w:eastAsia="zh-CN"/>
        </w:rPr>
      </w:pPr>
      <w:r>
        <w:rPr>
          <w:rFonts w:ascii="黑体" w:eastAsia="黑体" w:hAnsi="黑体" w:hint="eastAsia"/>
          <w:bCs/>
          <w:szCs w:val="32"/>
          <w:lang w:eastAsia="zh-CN"/>
        </w:rPr>
        <w:t>三、申报材料清单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申报材料应包含以下内容：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1.改建申请表（原件2份）；</w:t>
      </w:r>
    </w:p>
    <w:p w:rsidR="00D80528" w:rsidRDefault="00D80528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2.</w:t>
      </w:r>
      <w:r w:rsidR="003213EE">
        <w:rPr>
          <w:rFonts w:ascii="仿宋_GB2312" w:eastAsia="仿宋_GB2312" w:hint="eastAsia"/>
          <w:szCs w:val="32"/>
          <w:lang w:eastAsia="zh-CN"/>
        </w:rPr>
        <w:t>项目主体资格证明（复印件1份，营业执照或民办非企业单位登记证书）；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3.法定代表人身份证明（复印件1份，身份证正反面）；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4.拟改建房屋权属证明（复印件1份，不动产权证或房产证；无产权证的由区政府出具使用权证明）；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5.房屋租赁合同（如租赁，复印件1份，租期5年以上）；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6.改建方案（原件2份，</w:t>
      </w:r>
      <w:proofErr w:type="gramStart"/>
      <w:r>
        <w:rPr>
          <w:rFonts w:ascii="仿宋_GB2312" w:eastAsia="仿宋_GB2312" w:hint="eastAsia"/>
          <w:szCs w:val="32"/>
          <w:lang w:eastAsia="zh-CN"/>
        </w:rPr>
        <w:t>含功能</w:t>
      </w:r>
      <w:proofErr w:type="gramEnd"/>
      <w:r>
        <w:rPr>
          <w:rFonts w:ascii="仿宋_GB2312" w:eastAsia="仿宋_GB2312" w:hint="eastAsia"/>
          <w:szCs w:val="32"/>
          <w:lang w:eastAsia="zh-CN"/>
        </w:rPr>
        <w:t>布局、适老化设计说明）；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lastRenderedPageBreak/>
        <w:t>7.房屋安全鉴定报告（原件1份，具有相应资质的机构出具）；</w:t>
      </w:r>
    </w:p>
    <w:p w:rsidR="00D80528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8.利害关系人意见材料（原件1份，征求相关业主或利害关系人书面意见）</w:t>
      </w:r>
      <w:r w:rsidR="00D80528">
        <w:rPr>
          <w:rFonts w:ascii="仿宋_GB2312" w:eastAsia="仿宋_GB2312" w:hint="eastAsia"/>
          <w:szCs w:val="32"/>
          <w:lang w:eastAsia="zh-CN"/>
        </w:rPr>
        <w:t>；</w:t>
      </w:r>
    </w:p>
    <w:p w:rsidR="00D80528" w:rsidRDefault="00DC14E1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/>
          <w:szCs w:val="32"/>
          <w:lang w:eastAsia="zh-CN"/>
        </w:rPr>
        <w:t>9</w:t>
      </w:r>
      <w:r w:rsidR="003213EE">
        <w:rPr>
          <w:rFonts w:ascii="仿宋_GB2312" w:eastAsia="仿宋_GB2312" w:hint="eastAsia"/>
          <w:szCs w:val="32"/>
          <w:lang w:eastAsia="zh-CN"/>
        </w:rPr>
        <w:t>.资金证明（复印件1份，银行资信证明或投资意向书）。</w:t>
      </w:r>
    </w:p>
    <w:p w:rsidR="00D80528" w:rsidRDefault="003213EE" w:rsidP="00FD78E4">
      <w:pPr>
        <w:spacing w:after="0" w:line="576" w:lineRule="exact"/>
        <w:ind w:firstLineChars="200" w:firstLine="640"/>
        <w:rPr>
          <w:b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以上材料应当真实、完整、有效。申报材料齐全的，民政部门应当受理并出具受理通知书；材料不齐全的，应当一次性告知需补正的材料。</w:t>
      </w: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2E0D9A" w:rsidRDefault="002E0D9A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D80528" w:rsidRDefault="00D80528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7B1CA3" w:rsidRDefault="007B1CA3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7B1CA3" w:rsidRDefault="007B1CA3" w:rsidP="000D46A6">
      <w:pPr>
        <w:spacing w:after="0" w:line="576" w:lineRule="exact"/>
        <w:jc w:val="both"/>
        <w:rPr>
          <w:b/>
          <w:szCs w:val="32"/>
          <w:lang w:eastAsia="zh-CN"/>
        </w:rPr>
      </w:pPr>
    </w:p>
    <w:p w:rsidR="0048695E" w:rsidRPr="00D80528" w:rsidRDefault="003213EE" w:rsidP="000D46A6">
      <w:pPr>
        <w:spacing w:after="0" w:line="576" w:lineRule="exact"/>
        <w:jc w:val="both"/>
        <w:rPr>
          <w:rFonts w:ascii="黑体" w:eastAsia="黑体" w:hAnsi="黑体"/>
          <w:b/>
          <w:lang w:eastAsia="zh-CN"/>
        </w:rPr>
      </w:pPr>
      <w:r w:rsidRPr="00D80528">
        <w:rPr>
          <w:rFonts w:ascii="仿宋_GB2312" w:eastAsia="仿宋_GB2312" w:hint="eastAsia"/>
          <w:szCs w:val="32"/>
          <w:lang w:eastAsia="zh-CN"/>
        </w:rPr>
        <w:lastRenderedPageBreak/>
        <w:t xml:space="preserve">附件： </w:t>
      </w:r>
      <w:r w:rsidRPr="00D80528">
        <w:rPr>
          <w:rFonts w:ascii="黑体" w:eastAsia="黑体" w:hAnsi="黑体" w:hint="eastAsia"/>
          <w:b/>
          <w:lang w:eastAsia="zh-CN"/>
        </w:rPr>
        <w:t xml:space="preserve">  </w:t>
      </w:r>
    </w:p>
    <w:p w:rsidR="0048695E" w:rsidRPr="00D80528" w:rsidRDefault="003213EE" w:rsidP="000D46A6">
      <w:pPr>
        <w:spacing w:after="0" w:line="576" w:lineRule="exact"/>
        <w:ind w:firstLineChars="500" w:firstLine="1600"/>
        <w:jc w:val="both"/>
        <w:rPr>
          <w:rFonts w:ascii="方正小标宋简体" w:eastAsia="方正小标宋简体"/>
          <w:lang w:eastAsia="zh-CN"/>
        </w:rPr>
      </w:pPr>
      <w:r w:rsidRPr="00D80528">
        <w:rPr>
          <w:rFonts w:ascii="方正小标宋简体" w:eastAsia="方正小标宋简体" w:hAnsi="黑体" w:hint="eastAsia"/>
          <w:lang w:eastAsia="zh-CN"/>
        </w:rPr>
        <w:t>存量资源改建养老服务设施改建申请表</w:t>
      </w:r>
    </w:p>
    <w:tbl>
      <w:tblPr>
        <w:tblStyle w:val="ae"/>
        <w:tblW w:w="9944" w:type="dxa"/>
        <w:jc w:val="center"/>
        <w:tblLayout w:type="fixed"/>
        <w:tblLook w:val="04A0" w:firstRow="1" w:lastRow="0" w:firstColumn="1" w:lastColumn="0" w:noHBand="0" w:noVBand="1"/>
      </w:tblPr>
      <w:tblGrid>
        <w:gridCol w:w="1906"/>
        <w:gridCol w:w="3026"/>
        <w:gridCol w:w="1701"/>
        <w:gridCol w:w="3311"/>
      </w:tblGrid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项目名称</w:t>
            </w:r>
            <w:proofErr w:type="spellEnd"/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申请日期</w:t>
            </w:r>
            <w:proofErr w:type="spellEnd"/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  <w:ind w:firstLineChars="350" w:firstLine="770"/>
            </w:pPr>
            <w:r>
              <w:rPr>
                <w:rFonts w:ascii="仿宋_GB2312" w:eastAsia="仿宋_GB2312" w:hAnsi="仿宋_GB2312"/>
                <w:sz w:val="22"/>
              </w:rPr>
              <w:t xml:space="preserve">年 </w:t>
            </w:r>
            <w:r w:rsidR="002E0D9A">
              <w:rPr>
                <w:rFonts w:ascii="仿宋_GB2312" w:eastAsia="仿宋_GB2312" w:hAnsi="仿宋_GB2312"/>
                <w:sz w:val="22"/>
              </w:rPr>
              <w:t xml:space="preserve">  </w:t>
            </w:r>
            <w:r>
              <w:rPr>
                <w:rFonts w:ascii="仿宋_GB2312" w:eastAsia="仿宋_GB2312" w:hAnsi="仿宋_GB2312"/>
                <w:sz w:val="22"/>
              </w:rPr>
              <w:t xml:space="preserve">   月   </w:t>
            </w:r>
            <w:r w:rsidR="002E0D9A">
              <w:rPr>
                <w:rFonts w:ascii="仿宋_GB2312" w:eastAsia="仿宋_GB2312" w:hAnsi="仿宋_GB2312"/>
                <w:sz w:val="22"/>
              </w:rPr>
              <w:t xml:space="preserve">   </w:t>
            </w:r>
            <w:r>
              <w:rPr>
                <w:rFonts w:ascii="仿宋_GB2312" w:eastAsia="仿宋_GB2312" w:hAnsi="仿宋_GB2312"/>
                <w:sz w:val="22"/>
              </w:rPr>
              <w:t xml:space="preserve"> 日</w:t>
            </w: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申请主体</w:t>
            </w:r>
            <w:proofErr w:type="spellEnd"/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  <w:rPr>
                <w:lang w:eastAsia="zh-CN"/>
              </w:rPr>
            </w:pPr>
            <w:r>
              <w:rPr>
                <w:rFonts w:ascii="仿宋_GB2312" w:eastAsia="仿宋_GB2312" w:hAnsi="仿宋_GB2312"/>
                <w:b/>
                <w:sz w:val="22"/>
                <w:lang w:eastAsia="zh-CN"/>
              </w:rPr>
              <w:t>统一社会信用代码/身份证号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  <w:rPr>
                <w:lang w:eastAsia="zh-CN"/>
              </w:rPr>
            </w:pPr>
          </w:p>
        </w:tc>
      </w:tr>
      <w:tr w:rsidR="0048695E" w:rsidTr="002E0D9A">
        <w:trPr>
          <w:trHeight w:val="353"/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9F65FA" w:rsidRDefault="003213EE" w:rsidP="002E0D9A">
            <w:pPr>
              <w:spacing w:after="0" w:line="300" w:lineRule="exact"/>
              <w:rPr>
                <w:rFonts w:ascii="仿宋_GB2312" w:eastAsia="仿宋_GB2312" w:hAnsi="仿宋_GB2312"/>
                <w:b/>
                <w:sz w:val="22"/>
                <w:lang w:eastAsia="zh-CN"/>
              </w:rPr>
            </w:pPr>
            <w:r>
              <w:rPr>
                <w:rFonts w:ascii="仿宋_GB2312" w:eastAsia="仿宋_GB2312" w:hAnsi="仿宋_GB2312"/>
                <w:b/>
                <w:sz w:val="22"/>
                <w:lang w:eastAsia="zh-CN"/>
              </w:rPr>
              <w:t>法定代表人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联系电话</w:t>
            </w:r>
            <w:proofErr w:type="spellEnd"/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9F65FA">
        <w:trPr>
          <w:trHeight w:val="390"/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联系人</w:t>
            </w:r>
            <w:proofErr w:type="spellEnd"/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联系电话</w:t>
            </w:r>
            <w:proofErr w:type="spellEnd"/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拟改建房屋地址</w:t>
            </w:r>
            <w:proofErr w:type="spellEnd"/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房屋权属情况</w:t>
            </w:r>
            <w:proofErr w:type="spellEnd"/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  <w:rPr>
                <w:lang w:eastAsia="zh-CN"/>
              </w:rPr>
            </w:pPr>
            <w:r>
              <w:rPr>
                <w:rFonts w:ascii="仿宋_GB2312" w:eastAsia="仿宋_GB2312" w:hAnsi="仿宋_GB2312"/>
                <w:sz w:val="22"/>
                <w:lang w:eastAsia="zh-CN"/>
              </w:rPr>
              <w:t>□自有  □租赁  □政府或国企闲置用房  □其他：</w:t>
            </w: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原房屋用途</w:t>
            </w:r>
            <w:proofErr w:type="spellEnd"/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建筑面积</w:t>
            </w:r>
            <w:proofErr w:type="spellEnd"/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sz w:val="22"/>
              </w:rPr>
              <w:t>平方米</w:t>
            </w:r>
            <w:proofErr w:type="spellEnd"/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使用期限</w:t>
            </w:r>
            <w:proofErr w:type="spellEnd"/>
            <w:r>
              <w:rPr>
                <w:rFonts w:ascii="仿宋_GB2312" w:eastAsia="仿宋_GB2312" w:hAnsi="仿宋_GB2312"/>
                <w:b/>
                <w:sz w:val="22"/>
              </w:rPr>
              <w:t>/</w:t>
            </w: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租赁期限</w:t>
            </w:r>
            <w:proofErr w:type="spellEnd"/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r>
              <w:rPr>
                <w:rFonts w:ascii="仿宋_GB2312" w:eastAsia="仿宋_GB2312" w:hAnsi="仿宋_GB2312"/>
                <w:sz w:val="22"/>
              </w:rPr>
              <w:t xml:space="preserve">自    年  月  </w:t>
            </w:r>
            <w:proofErr w:type="spellStart"/>
            <w:r>
              <w:rPr>
                <w:rFonts w:ascii="仿宋_GB2312" w:eastAsia="仿宋_GB2312" w:hAnsi="仿宋_GB2312"/>
                <w:sz w:val="22"/>
              </w:rPr>
              <w:t>日至</w:t>
            </w:r>
            <w:proofErr w:type="spellEnd"/>
            <w:r>
              <w:rPr>
                <w:rFonts w:ascii="仿宋_GB2312" w:eastAsia="仿宋_GB2312" w:hAnsi="仿宋_GB2312"/>
                <w:sz w:val="22"/>
              </w:rPr>
              <w:t xml:space="preserve">    年  月  日</w:t>
            </w: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拟改建设施类型</w:t>
            </w:r>
            <w:proofErr w:type="spellEnd"/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  <w:rPr>
                <w:lang w:eastAsia="zh-CN"/>
              </w:rPr>
            </w:pPr>
            <w:r>
              <w:rPr>
                <w:rFonts w:ascii="仿宋_GB2312" w:eastAsia="仿宋_GB2312" w:hAnsi="仿宋_GB2312"/>
                <w:sz w:val="22"/>
                <w:lang w:eastAsia="zh-CN"/>
              </w:rPr>
              <w:t>□养老机构  □社区居家养老服务设施  □养老配套服务设施  □其他：</w:t>
            </w: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预计床位</w:t>
            </w:r>
            <w:proofErr w:type="spellEnd"/>
            <w:r>
              <w:rPr>
                <w:rFonts w:ascii="仿宋_GB2312" w:eastAsia="仿宋_GB2312" w:hAnsi="仿宋_GB2312"/>
                <w:b/>
                <w:sz w:val="22"/>
              </w:rPr>
              <w:t>/</w:t>
            </w: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服务能力</w:t>
            </w:r>
            <w:proofErr w:type="spellEnd"/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9F65FA">
            <w:pPr>
              <w:spacing w:after="0" w:line="300" w:lineRule="exact"/>
              <w:ind w:firstLineChars="250" w:firstLine="550"/>
            </w:pPr>
            <w:proofErr w:type="spellStart"/>
            <w:r>
              <w:rPr>
                <w:rFonts w:ascii="仿宋_GB2312" w:eastAsia="仿宋_GB2312" w:hAnsi="仿宋_GB2312"/>
                <w:sz w:val="22"/>
              </w:rPr>
              <w:t>张床位</w:t>
            </w:r>
            <w:proofErr w:type="spellEnd"/>
            <w:r>
              <w:rPr>
                <w:rFonts w:ascii="仿宋_GB2312" w:eastAsia="仿宋_GB2312" w:hAnsi="仿宋_GB2312"/>
                <w:sz w:val="22"/>
              </w:rPr>
              <w:t>/</w:t>
            </w:r>
            <w:proofErr w:type="spellStart"/>
            <w:r>
              <w:rPr>
                <w:rFonts w:ascii="仿宋_GB2312" w:eastAsia="仿宋_GB2312" w:hAnsi="仿宋_GB2312"/>
                <w:sz w:val="22"/>
              </w:rPr>
              <w:t>日服务人次</w:t>
            </w:r>
            <w:proofErr w:type="spellEnd"/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改建内容及规模</w:t>
            </w:r>
            <w:proofErr w:type="spellEnd"/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投资估算及资金来源</w:t>
            </w:r>
            <w:proofErr w:type="spellEnd"/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申请事项</w:t>
            </w:r>
            <w:proofErr w:type="spellEnd"/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  <w:rPr>
                <w:lang w:eastAsia="zh-CN"/>
              </w:rPr>
            </w:pPr>
            <w:r>
              <w:rPr>
                <w:rFonts w:ascii="仿宋_GB2312" w:eastAsia="仿宋_GB2312" w:hAnsi="仿宋_GB2312"/>
                <w:sz w:val="21"/>
                <w:lang w:eastAsia="zh-CN"/>
              </w:rPr>
              <w:t>申请将上述存量资源改建为养老服务设施，并按规定办理会商、审批、建设、验收、备案等手续。</w:t>
            </w:r>
          </w:p>
        </w:tc>
      </w:tr>
      <w:tr w:rsidR="0048695E" w:rsidTr="002E0D9A">
        <w:trPr>
          <w:trHeight w:val="1435"/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申请主体承诺</w:t>
            </w:r>
            <w:proofErr w:type="spellEnd"/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  <w:rPr>
                <w:lang w:eastAsia="zh-CN"/>
              </w:rPr>
            </w:pPr>
            <w:r>
              <w:rPr>
                <w:rFonts w:ascii="仿宋_GB2312" w:eastAsia="仿宋_GB2312" w:hAnsi="仿宋_GB2312"/>
                <w:sz w:val="21"/>
                <w:lang w:eastAsia="zh-CN"/>
              </w:rPr>
              <w:t>本单位（本人）承诺所提交材料真实、合法、有效，改建和运营过程中严格遵守房屋结构安全、消防安全、生态环境保护、养老服务管理等规定，并依法承担相应责任。</w:t>
            </w: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  <w:rPr>
                <w:lang w:eastAsia="zh-CN"/>
              </w:rPr>
            </w:pPr>
            <w:r>
              <w:rPr>
                <w:rFonts w:ascii="仿宋_GB2312" w:eastAsia="仿宋_GB2312" w:hAnsi="仿宋_GB2312"/>
                <w:b/>
                <w:sz w:val="22"/>
                <w:lang w:eastAsia="zh-CN"/>
              </w:rPr>
              <w:t>申请主体（盖章/签字）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法定代表人（签字</w:t>
            </w:r>
            <w:proofErr w:type="spellEnd"/>
            <w:r>
              <w:rPr>
                <w:rFonts w:ascii="仿宋_GB2312" w:eastAsia="仿宋_GB2312" w:hAnsi="仿宋_GB2312"/>
                <w:b/>
                <w:sz w:val="22"/>
              </w:rPr>
              <w:t>）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E0D9A" w:rsidRDefault="003213EE" w:rsidP="002E0D9A">
            <w:pPr>
              <w:spacing w:after="0" w:line="300" w:lineRule="exact"/>
              <w:rPr>
                <w:rFonts w:ascii="仿宋_GB2312" w:eastAsia="仿宋_GB2312" w:hAnsi="仿宋_GB2312"/>
                <w:b/>
                <w:sz w:val="22"/>
              </w:rPr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民政部门</w:t>
            </w:r>
            <w:proofErr w:type="spellEnd"/>
          </w:p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受理意见</w:t>
            </w:r>
            <w:proofErr w:type="spellEnd"/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  <w:p w:rsidR="0048695E" w:rsidRDefault="0048695E" w:rsidP="002E0D9A">
            <w:pPr>
              <w:spacing w:after="0" w:line="300" w:lineRule="exact"/>
            </w:pPr>
          </w:p>
        </w:tc>
      </w:tr>
      <w:tr w:rsidR="0048695E" w:rsidTr="0065510B">
        <w:trPr>
          <w:jc w:val="center"/>
        </w:trPr>
        <w:tc>
          <w:tcPr>
            <w:tcW w:w="1906" w:type="dxa"/>
            <w:tcBorders>
              <w:bottom w:val="single" w:sz="4" w:space="0" w:color="auto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经办人</w:t>
            </w:r>
            <w:proofErr w:type="spellEnd"/>
          </w:p>
        </w:tc>
        <w:tc>
          <w:tcPr>
            <w:tcW w:w="3026" w:type="dxa"/>
            <w:tcBorders>
              <w:bottom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proofErr w:type="spellStart"/>
            <w:r>
              <w:rPr>
                <w:rFonts w:ascii="仿宋_GB2312" w:eastAsia="仿宋_GB2312" w:hAnsi="仿宋_GB2312"/>
                <w:b/>
                <w:sz w:val="22"/>
              </w:rPr>
              <w:t>受理日期</w:t>
            </w:r>
            <w:proofErr w:type="spellEnd"/>
          </w:p>
        </w:tc>
        <w:tc>
          <w:tcPr>
            <w:tcW w:w="3311" w:type="dxa"/>
            <w:tcBorders>
              <w:bottom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Default="003213EE" w:rsidP="002E0D9A">
            <w:pPr>
              <w:spacing w:after="0" w:line="300" w:lineRule="exact"/>
            </w:pPr>
            <w:r>
              <w:rPr>
                <w:rFonts w:ascii="仿宋_GB2312" w:eastAsia="仿宋_GB2312" w:hAnsi="仿宋_GB2312"/>
                <w:sz w:val="22"/>
              </w:rPr>
              <w:t>年    月    日</w:t>
            </w:r>
          </w:p>
        </w:tc>
      </w:tr>
      <w:tr w:rsidR="002E0D9A" w:rsidTr="0065510B">
        <w:trPr>
          <w:jc w:val="center"/>
        </w:trPr>
        <w:tc>
          <w:tcPr>
            <w:tcW w:w="9944" w:type="dxa"/>
            <w:gridSpan w:val="4"/>
            <w:tcBorders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E0D9A" w:rsidRPr="0065510B" w:rsidRDefault="002E0D9A" w:rsidP="0065510B">
            <w:pPr>
              <w:spacing w:after="0" w:line="300" w:lineRule="exact"/>
              <w:rPr>
                <w:rFonts w:ascii="仿宋_GB2312" w:eastAsia="仿宋_GB2312" w:hAnsi="仿宋_GB2312"/>
                <w:sz w:val="21"/>
                <w:lang w:eastAsia="zh-CN"/>
              </w:rPr>
            </w:pPr>
            <w:r>
              <w:rPr>
                <w:rFonts w:ascii="仿宋_GB2312" w:eastAsia="仿宋_GB2312" w:hAnsi="仿宋_GB2312"/>
                <w:sz w:val="21"/>
                <w:lang w:eastAsia="zh-CN"/>
              </w:rPr>
              <w:t>注：申请主体可根据项目实际另附改建方案、房屋权属证明、房屋安全鉴定、消防安全评估等材料。</w:t>
            </w:r>
          </w:p>
        </w:tc>
      </w:tr>
    </w:tbl>
    <w:p w:rsidR="002E0D9A" w:rsidRDefault="002E0D9A" w:rsidP="009F65FA">
      <w:pPr>
        <w:spacing w:after="0" w:line="576" w:lineRule="exact"/>
        <w:ind w:firstLineChars="200" w:firstLine="640"/>
        <w:rPr>
          <w:lang w:eastAsia="zh-CN"/>
        </w:rPr>
      </w:pPr>
    </w:p>
    <w:sectPr w:rsidR="002E0D9A" w:rsidSect="002E0D9A">
      <w:footerReference w:type="default" r:id="rId8"/>
      <w:pgSz w:w="11906" w:h="16838"/>
      <w:pgMar w:top="1440" w:right="1800" w:bottom="1440" w:left="1800" w:header="720" w:footer="720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AB" w:rsidRDefault="00A572AB">
      <w:pPr>
        <w:spacing w:line="240" w:lineRule="auto"/>
      </w:pPr>
      <w:r>
        <w:separator/>
      </w:r>
    </w:p>
  </w:endnote>
  <w:endnote w:type="continuationSeparator" w:id="0">
    <w:p w:rsidR="00A572AB" w:rsidRDefault="00A57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7869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80528" w:rsidRPr="00D80528" w:rsidRDefault="00D80528">
        <w:pPr>
          <w:pStyle w:val="a9"/>
          <w:jc w:val="center"/>
          <w:rPr>
            <w:sz w:val="28"/>
            <w:szCs w:val="28"/>
          </w:rPr>
        </w:pPr>
        <w:r w:rsidRPr="00D80528">
          <w:rPr>
            <w:sz w:val="28"/>
            <w:szCs w:val="28"/>
          </w:rPr>
          <w:fldChar w:fldCharType="begin"/>
        </w:r>
        <w:r w:rsidRPr="00D80528">
          <w:rPr>
            <w:sz w:val="28"/>
            <w:szCs w:val="28"/>
          </w:rPr>
          <w:instrText>PAGE   \* MERGEFORMAT</w:instrText>
        </w:r>
        <w:r w:rsidRPr="00D80528">
          <w:rPr>
            <w:sz w:val="28"/>
            <w:szCs w:val="28"/>
          </w:rPr>
          <w:fldChar w:fldCharType="separate"/>
        </w:r>
        <w:r w:rsidR="007D05BB" w:rsidRPr="007D05BB">
          <w:rPr>
            <w:noProof/>
            <w:sz w:val="28"/>
            <w:szCs w:val="28"/>
            <w:lang w:val="zh-CN" w:eastAsia="zh-CN"/>
          </w:rPr>
          <w:t>-</w:t>
        </w:r>
        <w:r w:rsidR="007D05BB">
          <w:rPr>
            <w:noProof/>
            <w:sz w:val="28"/>
            <w:szCs w:val="28"/>
          </w:rPr>
          <w:t xml:space="preserve"> 6 -</w:t>
        </w:r>
        <w:r w:rsidRPr="00D80528">
          <w:rPr>
            <w:sz w:val="28"/>
            <w:szCs w:val="28"/>
          </w:rPr>
          <w:fldChar w:fldCharType="end"/>
        </w:r>
      </w:p>
    </w:sdtContent>
  </w:sdt>
  <w:p w:rsidR="00D80528" w:rsidRDefault="00D805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AB" w:rsidRDefault="00A572AB">
      <w:pPr>
        <w:spacing w:after="0"/>
      </w:pPr>
      <w:r>
        <w:separator/>
      </w:r>
    </w:p>
  </w:footnote>
  <w:footnote w:type="continuationSeparator" w:id="0">
    <w:p w:rsidR="00A572AB" w:rsidRDefault="00A572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3E02"/>
    <w:rsid w:val="0006063C"/>
    <w:rsid w:val="000D46A6"/>
    <w:rsid w:val="0015074B"/>
    <w:rsid w:val="001802D0"/>
    <w:rsid w:val="001F7851"/>
    <w:rsid w:val="00226FFC"/>
    <w:rsid w:val="00286EBB"/>
    <w:rsid w:val="0029639D"/>
    <w:rsid w:val="002E0D9A"/>
    <w:rsid w:val="003213EE"/>
    <w:rsid w:val="00325762"/>
    <w:rsid w:val="00326F90"/>
    <w:rsid w:val="003350C6"/>
    <w:rsid w:val="003632ED"/>
    <w:rsid w:val="003D515A"/>
    <w:rsid w:val="00415367"/>
    <w:rsid w:val="0046240D"/>
    <w:rsid w:val="0048695E"/>
    <w:rsid w:val="004F3CBD"/>
    <w:rsid w:val="005F0760"/>
    <w:rsid w:val="00601DBD"/>
    <w:rsid w:val="0062225E"/>
    <w:rsid w:val="0065510B"/>
    <w:rsid w:val="00731AB6"/>
    <w:rsid w:val="00770102"/>
    <w:rsid w:val="007B1CA3"/>
    <w:rsid w:val="007D05BB"/>
    <w:rsid w:val="009B358B"/>
    <w:rsid w:val="009F65FA"/>
    <w:rsid w:val="00A572AB"/>
    <w:rsid w:val="00AA1D8D"/>
    <w:rsid w:val="00AA5E20"/>
    <w:rsid w:val="00B465F3"/>
    <w:rsid w:val="00B47730"/>
    <w:rsid w:val="00B86565"/>
    <w:rsid w:val="00BD081A"/>
    <w:rsid w:val="00BE1BE6"/>
    <w:rsid w:val="00C031C2"/>
    <w:rsid w:val="00CB0664"/>
    <w:rsid w:val="00CC7091"/>
    <w:rsid w:val="00D1123E"/>
    <w:rsid w:val="00D80528"/>
    <w:rsid w:val="00DB0E4F"/>
    <w:rsid w:val="00DC14E1"/>
    <w:rsid w:val="00F64AA0"/>
    <w:rsid w:val="00FC1648"/>
    <w:rsid w:val="00FC693F"/>
    <w:rsid w:val="00FD78E4"/>
    <w:rsid w:val="00FE7DFB"/>
    <w:rsid w:val="0E9D60B2"/>
    <w:rsid w:val="0FF733BE"/>
    <w:rsid w:val="3F14330B"/>
    <w:rsid w:val="5C1D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AFF2985A-91CF-44EE-B96C-9B706058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360" w:lineRule="auto"/>
    </w:pPr>
    <w:rPr>
      <w:rFonts w:ascii="宋体" w:eastAsia="宋体" w:hAnsi="宋体"/>
      <w:sz w:val="32"/>
      <w:szCs w:val="22"/>
      <w:lang w:eastAsia="en-US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2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6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3">
    <w:name w:val="Body Text 3"/>
    <w:basedOn w:val="a1"/>
    <w:link w:val="3Char0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7">
    <w:name w:val="Body Text"/>
    <w:basedOn w:val="a1"/>
    <w:link w:val="Char0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2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8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9">
    <w:name w:val="footer"/>
    <w:basedOn w:val="a1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header"/>
    <w:basedOn w:val="a1"/>
    <w:link w:val="Char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Subtitle"/>
    <w:basedOn w:val="a1"/>
    <w:next w:val="a1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3">
    <w:name w:val="Body Text 2"/>
    <w:basedOn w:val="a1"/>
    <w:link w:val="2Char0"/>
    <w:uiPriority w:val="99"/>
    <w:unhideWhenUsed/>
    <w:qFormat/>
    <w:pPr>
      <w:spacing w:after="120" w:line="480" w:lineRule="auto"/>
    </w:pPr>
  </w:style>
  <w:style w:type="paragraph" w:styleId="24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d">
    <w:name w:val="Title"/>
    <w:basedOn w:val="a1"/>
    <w:next w:val="a1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0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1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0">
    <w:name w:val="Medium Shading 1"/>
    <w:basedOn w:val="a3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35">
    <w:name w:val="Medium Grid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2">
    <w:name w:val="Dark List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3">
    <w:name w:val="Colorful Shading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000000" w:themeFill="tex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C4C74" w:themeFill="accen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772C2A" w:themeFill="accent2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5E7530" w:themeFill="accent3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4C3B62" w:themeFill="accent4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76A7C" w:themeFill="accent5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B65608" w:themeFill="accent6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4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5">
    <w:name w:val="Colorful Grid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6">
    <w:name w:val="Strong"/>
    <w:basedOn w:val="a2"/>
    <w:uiPriority w:val="22"/>
    <w:qFormat/>
    <w:rPr>
      <w:b/>
      <w:bCs/>
    </w:rPr>
  </w:style>
  <w:style w:type="character" w:styleId="af7">
    <w:name w:val="Emphasis"/>
    <w:basedOn w:val="a2"/>
    <w:uiPriority w:val="20"/>
    <w:qFormat/>
    <w:rPr>
      <w:i/>
      <w:iCs/>
    </w:rPr>
  </w:style>
  <w:style w:type="character" w:customStyle="1" w:styleId="Char2">
    <w:name w:val="页眉 Char"/>
    <w:basedOn w:val="a2"/>
    <w:link w:val="aa"/>
    <w:uiPriority w:val="99"/>
    <w:qFormat/>
  </w:style>
  <w:style w:type="character" w:customStyle="1" w:styleId="Char1">
    <w:name w:val="页脚 Char"/>
    <w:basedOn w:val="a2"/>
    <w:link w:val="a9"/>
    <w:uiPriority w:val="99"/>
    <w:qFormat/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1Char">
    <w:name w:val="标题 1 Char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4">
    <w:name w:val="标题 Char"/>
    <w:basedOn w:val="a2"/>
    <w:link w:val="ad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2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character" w:customStyle="1" w:styleId="Char0">
    <w:name w:val="正文文本 Char"/>
    <w:basedOn w:val="a2"/>
    <w:link w:val="a7"/>
    <w:uiPriority w:val="99"/>
    <w:qFormat/>
  </w:style>
  <w:style w:type="character" w:customStyle="1" w:styleId="2Char0">
    <w:name w:val="正文文本 2 Char"/>
    <w:basedOn w:val="a2"/>
    <w:link w:val="23"/>
    <w:uiPriority w:val="99"/>
    <w:qFormat/>
  </w:style>
  <w:style w:type="character" w:customStyle="1" w:styleId="3Char0">
    <w:name w:val="正文文本 3 Char"/>
    <w:basedOn w:val="a2"/>
    <w:link w:val="33"/>
    <w:uiPriority w:val="99"/>
    <w:qFormat/>
    <w:rPr>
      <w:sz w:val="16"/>
      <w:szCs w:val="16"/>
    </w:rPr>
  </w:style>
  <w:style w:type="character" w:customStyle="1" w:styleId="Char">
    <w:name w:val="宏文本 Char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a">
    <w:name w:val="Quote"/>
    <w:basedOn w:val="a1"/>
    <w:next w:val="a1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引用 Char"/>
    <w:basedOn w:val="a2"/>
    <w:link w:val="afa"/>
    <w:uiPriority w:val="29"/>
    <w:qFormat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1"/>
    <w:next w:val="a1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3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4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6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41BEC-4CE4-44A0-82EE-D8765F50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353</Words>
  <Characters>2017</Characters>
  <Application>Microsoft Office Word</Application>
  <DocSecurity>0</DocSecurity>
  <Lines>16</Lines>
  <Paragraphs>4</Paragraphs>
  <ScaleCrop>false</ScaleCrop>
  <Company>Sinopec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微软中国</cp:lastModifiedBy>
  <cp:revision>34</cp:revision>
  <dcterms:created xsi:type="dcterms:W3CDTF">2013-12-23T23:15:00Z</dcterms:created>
  <dcterms:modified xsi:type="dcterms:W3CDTF">2026-05-11T03:30:00Z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eyJoZGlkIjoiNmZkYzMxOTViODRiZDEzNWY5ZjVmMWI5NjE2NzUzZmUiLCJ1c2VySWQiOiI1ODI4MzYzODkifQ==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E087802497DF4609AC9B6692313C3968_13</vt:lpwstr>
  </property>
</Properties>
</file>